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697D4" w14:textId="77777777" w:rsidR="005862BC" w:rsidRPr="00D25D7D" w:rsidRDefault="00D0661E" w:rsidP="00490502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D25D7D">
        <w:rPr>
          <w:rFonts w:asciiTheme="minorHAnsi" w:hAnsiTheme="minorHAnsi"/>
          <w:b/>
          <w:sz w:val="20"/>
          <w:szCs w:val="20"/>
        </w:rPr>
        <w:t>Anne Emmanuelle KAHN</w:t>
      </w:r>
    </w:p>
    <w:p w14:paraId="67A64DD0" w14:textId="730F5050" w:rsidR="003342E4" w:rsidRPr="00D25D7D" w:rsidRDefault="005862BC" w:rsidP="00490502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D25D7D">
        <w:rPr>
          <w:rFonts w:asciiTheme="minorHAnsi" w:hAnsiTheme="minorHAnsi"/>
          <w:b/>
          <w:sz w:val="20"/>
          <w:szCs w:val="20"/>
        </w:rPr>
        <w:t xml:space="preserve">Courriel : </w:t>
      </w:r>
      <w:r w:rsidR="00C77AFF">
        <w:rPr>
          <w:rFonts w:asciiTheme="minorHAnsi" w:hAnsiTheme="minorHAnsi"/>
          <w:b/>
          <w:sz w:val="20"/>
          <w:szCs w:val="20"/>
        </w:rPr>
        <w:t>anne-emmanuelle.kahn@univ-lyon2.fr</w:t>
      </w:r>
      <w:r w:rsidR="00490502" w:rsidRPr="00D25D7D">
        <w:rPr>
          <w:rFonts w:asciiTheme="minorHAnsi" w:hAnsiTheme="minorHAnsi"/>
          <w:b/>
          <w:sz w:val="20"/>
          <w:szCs w:val="20"/>
        </w:rPr>
        <w:tab/>
      </w:r>
      <w:r w:rsidR="00D0661E" w:rsidRPr="00D25D7D">
        <w:rPr>
          <w:rFonts w:asciiTheme="minorHAnsi" w:hAnsiTheme="minorHAnsi"/>
          <w:b/>
          <w:sz w:val="20"/>
          <w:szCs w:val="20"/>
        </w:rPr>
        <w:tab/>
      </w:r>
      <w:r w:rsidR="00D0661E" w:rsidRPr="00D25D7D">
        <w:rPr>
          <w:rFonts w:asciiTheme="minorHAnsi" w:hAnsiTheme="minorHAnsi"/>
          <w:b/>
          <w:sz w:val="20"/>
          <w:szCs w:val="20"/>
        </w:rPr>
        <w:tab/>
      </w:r>
      <w:r w:rsidR="00A865E2">
        <w:rPr>
          <w:rFonts w:asciiTheme="minorHAnsi" w:hAnsiTheme="minorHAnsi"/>
          <w:b/>
          <w:sz w:val="20"/>
          <w:szCs w:val="20"/>
        </w:rPr>
        <w:tab/>
      </w:r>
      <w:r w:rsidR="00490502" w:rsidRPr="00D25D7D">
        <w:rPr>
          <w:rFonts w:asciiTheme="minorHAnsi" w:hAnsiTheme="minorHAnsi"/>
          <w:b/>
          <w:sz w:val="20"/>
          <w:szCs w:val="20"/>
        </w:rPr>
        <w:tab/>
      </w:r>
      <w:r w:rsidR="00953C60" w:rsidRPr="00D25D7D">
        <w:rPr>
          <w:rFonts w:asciiTheme="minorHAnsi" w:hAnsiTheme="minorHAnsi"/>
          <w:b/>
          <w:sz w:val="20"/>
          <w:szCs w:val="20"/>
        </w:rPr>
        <w:t xml:space="preserve"> </w:t>
      </w:r>
    </w:p>
    <w:p w14:paraId="720409B7" w14:textId="77777777" w:rsidR="005862BC" w:rsidRPr="00D25D7D" w:rsidRDefault="005862BC" w:rsidP="0049050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2281E570" w14:textId="5804FAE4" w:rsidR="005862BC" w:rsidRPr="00D25D7D" w:rsidRDefault="005862BC" w:rsidP="00C77AFF">
      <w:pPr>
        <w:pBdr>
          <w:bottom w:val="single" w:sz="12" w:space="1" w:color="auto"/>
        </w:pBdr>
        <w:tabs>
          <w:tab w:val="right" w:pos="9809"/>
        </w:tabs>
        <w:spacing w:line="240" w:lineRule="auto"/>
        <w:jc w:val="both"/>
        <w:rPr>
          <w:rFonts w:asciiTheme="minorHAnsi" w:hAnsiTheme="minorHAnsi"/>
          <w:b/>
          <w:smallCaps/>
          <w:sz w:val="20"/>
          <w:szCs w:val="20"/>
        </w:rPr>
      </w:pPr>
      <w:r w:rsidRPr="00D25D7D">
        <w:rPr>
          <w:rFonts w:asciiTheme="minorHAnsi" w:hAnsiTheme="minorHAnsi"/>
          <w:b/>
          <w:sz w:val="20"/>
          <w:szCs w:val="20"/>
        </w:rPr>
        <w:tab/>
      </w:r>
      <w:r w:rsidR="00C77AFF">
        <w:rPr>
          <w:rFonts w:asciiTheme="minorHAnsi" w:hAnsiTheme="minorHAnsi"/>
          <w:b/>
          <w:smallCaps/>
          <w:sz w:val="20"/>
          <w:szCs w:val="20"/>
        </w:rPr>
        <w:t>Statut</w:t>
      </w:r>
    </w:p>
    <w:p w14:paraId="6C4BBEFE" w14:textId="77777777" w:rsidR="007B5810" w:rsidRPr="00D25D7D" w:rsidRDefault="00D0661E" w:rsidP="007B5810">
      <w:pPr>
        <w:spacing w:after="8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D25D7D">
        <w:rPr>
          <w:rFonts w:asciiTheme="minorHAnsi" w:hAnsiTheme="minorHAnsi"/>
          <w:b/>
          <w:sz w:val="20"/>
          <w:szCs w:val="20"/>
        </w:rPr>
        <w:t xml:space="preserve">Depuis </w:t>
      </w:r>
      <w:r w:rsidR="007B5810" w:rsidRPr="00D25D7D">
        <w:rPr>
          <w:rFonts w:asciiTheme="minorHAnsi" w:hAnsiTheme="minorHAnsi"/>
          <w:b/>
          <w:sz w:val="20"/>
          <w:szCs w:val="20"/>
        </w:rPr>
        <w:t>2</w:t>
      </w:r>
      <w:r w:rsidRPr="00D25D7D">
        <w:rPr>
          <w:rFonts w:asciiTheme="minorHAnsi" w:hAnsiTheme="minorHAnsi"/>
          <w:b/>
          <w:sz w:val="20"/>
          <w:szCs w:val="20"/>
        </w:rPr>
        <w:t xml:space="preserve">002 </w:t>
      </w:r>
      <w:r w:rsidR="007B5810" w:rsidRPr="00D25D7D">
        <w:rPr>
          <w:rFonts w:asciiTheme="minorHAnsi" w:hAnsiTheme="minorHAnsi"/>
          <w:b/>
          <w:sz w:val="20"/>
          <w:szCs w:val="20"/>
        </w:rPr>
        <w:t xml:space="preserve">: </w:t>
      </w:r>
      <w:r w:rsidR="007B5810" w:rsidRPr="00D25D7D">
        <w:rPr>
          <w:rFonts w:asciiTheme="minorHAnsi" w:hAnsiTheme="minorHAnsi"/>
          <w:sz w:val="20"/>
          <w:szCs w:val="20"/>
        </w:rPr>
        <w:t xml:space="preserve">Maître de Conférences à </w:t>
      </w:r>
      <w:r w:rsidR="00537E08" w:rsidRPr="00D25D7D">
        <w:rPr>
          <w:rFonts w:asciiTheme="minorHAnsi" w:hAnsiTheme="minorHAnsi"/>
          <w:sz w:val="20"/>
          <w:szCs w:val="20"/>
        </w:rPr>
        <w:t xml:space="preserve">la faculté de droit de </w:t>
      </w:r>
      <w:r w:rsidRPr="00D25D7D">
        <w:rPr>
          <w:sz w:val="20"/>
          <w:szCs w:val="20"/>
        </w:rPr>
        <w:t>l’Université Lumière – Lyon 2</w:t>
      </w:r>
      <w:r w:rsidR="00AF7561" w:rsidRPr="00D25D7D">
        <w:rPr>
          <w:rFonts w:asciiTheme="minorHAnsi" w:hAnsiTheme="minorHAnsi"/>
          <w:sz w:val="20"/>
          <w:szCs w:val="20"/>
        </w:rPr>
        <w:t>.</w:t>
      </w:r>
    </w:p>
    <w:p w14:paraId="30EB1727" w14:textId="77777777" w:rsidR="007B5810" w:rsidRPr="00D25D7D" w:rsidRDefault="00D0661E" w:rsidP="007B5810">
      <w:pPr>
        <w:spacing w:after="80" w:line="240" w:lineRule="auto"/>
        <w:jc w:val="both"/>
        <w:rPr>
          <w:rFonts w:asciiTheme="minorHAnsi" w:hAnsiTheme="minorHAnsi"/>
          <w:sz w:val="20"/>
          <w:szCs w:val="20"/>
        </w:rPr>
      </w:pPr>
      <w:r w:rsidRPr="00D25D7D">
        <w:rPr>
          <w:rFonts w:asciiTheme="minorHAnsi" w:hAnsiTheme="minorHAnsi"/>
          <w:b/>
          <w:sz w:val="20"/>
          <w:szCs w:val="20"/>
        </w:rPr>
        <w:t>1999-2002</w:t>
      </w:r>
      <w:r w:rsidR="007B5810" w:rsidRPr="00D25D7D">
        <w:rPr>
          <w:rFonts w:asciiTheme="minorHAnsi" w:hAnsiTheme="minorHAnsi"/>
          <w:b/>
          <w:sz w:val="20"/>
          <w:szCs w:val="20"/>
        </w:rPr>
        <w:t xml:space="preserve"> : </w:t>
      </w:r>
      <w:r w:rsidR="007B5810" w:rsidRPr="00D25D7D">
        <w:rPr>
          <w:rFonts w:asciiTheme="minorHAnsi" w:hAnsiTheme="minorHAnsi"/>
          <w:sz w:val="20"/>
          <w:szCs w:val="20"/>
        </w:rPr>
        <w:t xml:space="preserve">Maître de conférences </w:t>
      </w:r>
      <w:r w:rsidR="00F97A29" w:rsidRPr="00D25D7D">
        <w:rPr>
          <w:rFonts w:asciiTheme="minorHAnsi" w:hAnsiTheme="minorHAnsi"/>
          <w:sz w:val="20"/>
          <w:szCs w:val="20"/>
        </w:rPr>
        <w:t xml:space="preserve">à la faculté de droit </w:t>
      </w:r>
      <w:r w:rsidRPr="00D25D7D">
        <w:rPr>
          <w:rFonts w:asciiTheme="minorHAnsi" w:hAnsiTheme="minorHAnsi"/>
          <w:sz w:val="20"/>
          <w:szCs w:val="20"/>
        </w:rPr>
        <w:t xml:space="preserve">de </w:t>
      </w:r>
      <w:r w:rsidRPr="00D25D7D">
        <w:rPr>
          <w:sz w:val="20"/>
          <w:szCs w:val="20"/>
        </w:rPr>
        <w:t>l’Université d’Auvergne - Clermont 1</w:t>
      </w:r>
      <w:r w:rsidR="00AF7561" w:rsidRPr="00D25D7D">
        <w:rPr>
          <w:sz w:val="20"/>
          <w:szCs w:val="20"/>
        </w:rPr>
        <w:t>.</w:t>
      </w:r>
    </w:p>
    <w:p w14:paraId="45E3F6D4" w14:textId="77777777" w:rsidR="005862BC" w:rsidRPr="00D25D7D" w:rsidRDefault="003342E4" w:rsidP="00490502">
      <w:pPr>
        <w:spacing w:after="80" w:line="240" w:lineRule="auto"/>
        <w:ind w:right="-567"/>
        <w:jc w:val="both"/>
        <w:rPr>
          <w:rFonts w:asciiTheme="minorHAnsi" w:hAnsiTheme="minorHAnsi"/>
          <w:sz w:val="20"/>
          <w:szCs w:val="20"/>
        </w:rPr>
      </w:pPr>
      <w:r w:rsidRPr="00D25D7D">
        <w:rPr>
          <w:rFonts w:asciiTheme="minorHAnsi" w:hAnsiTheme="minorHAnsi"/>
          <w:i/>
          <w:sz w:val="20"/>
          <w:szCs w:val="20"/>
        </w:rPr>
        <w:t>Qualification CNU</w:t>
      </w:r>
      <w:r w:rsidRPr="00D25D7D">
        <w:rPr>
          <w:rFonts w:asciiTheme="minorHAnsi" w:hAnsiTheme="minorHAnsi"/>
          <w:sz w:val="20"/>
          <w:szCs w:val="20"/>
        </w:rPr>
        <w:t> :</w:t>
      </w:r>
      <w:r w:rsidR="00D0661E" w:rsidRPr="00D25D7D">
        <w:rPr>
          <w:rFonts w:asciiTheme="minorHAnsi" w:hAnsiTheme="minorHAnsi"/>
          <w:sz w:val="20"/>
          <w:szCs w:val="20"/>
        </w:rPr>
        <w:t xml:space="preserve"> 1999</w:t>
      </w:r>
      <w:r w:rsidR="00FF08F5" w:rsidRPr="00D25D7D">
        <w:rPr>
          <w:rFonts w:asciiTheme="minorHAnsi" w:hAnsiTheme="minorHAnsi"/>
          <w:sz w:val="20"/>
          <w:szCs w:val="20"/>
        </w:rPr>
        <w:t xml:space="preserve">    </w:t>
      </w:r>
      <w:r w:rsidR="00490502" w:rsidRPr="00D25D7D">
        <w:rPr>
          <w:rFonts w:asciiTheme="minorHAnsi" w:hAnsiTheme="minorHAnsi"/>
          <w:sz w:val="20"/>
          <w:szCs w:val="20"/>
        </w:rPr>
        <w:tab/>
      </w:r>
      <w:r w:rsidR="00490502" w:rsidRPr="00D25D7D">
        <w:rPr>
          <w:rFonts w:asciiTheme="minorHAnsi" w:hAnsiTheme="minorHAnsi"/>
          <w:sz w:val="20"/>
          <w:szCs w:val="20"/>
        </w:rPr>
        <w:tab/>
      </w:r>
      <w:r w:rsidR="00490502" w:rsidRPr="00D25D7D">
        <w:rPr>
          <w:rFonts w:asciiTheme="minorHAnsi" w:hAnsiTheme="minorHAnsi"/>
          <w:sz w:val="20"/>
          <w:szCs w:val="20"/>
        </w:rPr>
        <w:tab/>
      </w:r>
      <w:r w:rsidR="00FF08F5" w:rsidRPr="00D25D7D">
        <w:rPr>
          <w:rFonts w:asciiTheme="minorHAnsi" w:hAnsiTheme="minorHAnsi"/>
          <w:sz w:val="20"/>
          <w:szCs w:val="20"/>
        </w:rPr>
        <w:t xml:space="preserve"> </w:t>
      </w:r>
      <w:r w:rsidR="005862BC" w:rsidRPr="00D25D7D">
        <w:rPr>
          <w:rFonts w:asciiTheme="minorHAnsi" w:hAnsiTheme="minorHAnsi"/>
          <w:i/>
          <w:sz w:val="20"/>
          <w:szCs w:val="20"/>
        </w:rPr>
        <w:t>Début d’exercice de la fonction</w:t>
      </w:r>
      <w:r w:rsidR="005862BC" w:rsidRPr="00D25D7D">
        <w:rPr>
          <w:rFonts w:asciiTheme="minorHAnsi" w:hAnsiTheme="minorHAnsi"/>
          <w:sz w:val="20"/>
          <w:szCs w:val="20"/>
        </w:rPr>
        <w:t> : 1</w:t>
      </w:r>
      <w:r w:rsidR="005862BC" w:rsidRPr="00D25D7D">
        <w:rPr>
          <w:rFonts w:asciiTheme="minorHAnsi" w:hAnsiTheme="minorHAnsi"/>
          <w:sz w:val="20"/>
          <w:szCs w:val="20"/>
          <w:vertAlign w:val="superscript"/>
        </w:rPr>
        <w:t>er</w:t>
      </w:r>
      <w:r w:rsidR="00D0661E" w:rsidRPr="00D25D7D">
        <w:rPr>
          <w:rFonts w:asciiTheme="minorHAnsi" w:hAnsiTheme="minorHAnsi"/>
          <w:sz w:val="20"/>
          <w:szCs w:val="20"/>
        </w:rPr>
        <w:t xml:space="preserve"> septembre 1999</w:t>
      </w:r>
      <w:r w:rsidR="005862BC" w:rsidRPr="00D25D7D">
        <w:rPr>
          <w:rFonts w:asciiTheme="minorHAnsi" w:hAnsiTheme="minorHAnsi"/>
          <w:sz w:val="20"/>
          <w:szCs w:val="20"/>
        </w:rPr>
        <w:t>.</w:t>
      </w:r>
    </w:p>
    <w:p w14:paraId="5090CDCF" w14:textId="77777777" w:rsidR="005862BC" w:rsidRPr="00D25D7D" w:rsidRDefault="005862BC" w:rsidP="000C4AC5">
      <w:pPr>
        <w:pBdr>
          <w:bottom w:val="single" w:sz="12" w:space="0" w:color="auto"/>
        </w:pBdr>
        <w:tabs>
          <w:tab w:val="right" w:pos="9809"/>
        </w:tabs>
        <w:spacing w:before="240" w:line="240" w:lineRule="auto"/>
        <w:jc w:val="both"/>
        <w:rPr>
          <w:rFonts w:asciiTheme="minorHAnsi" w:hAnsiTheme="minorHAnsi"/>
          <w:b/>
          <w:smallCaps/>
          <w:sz w:val="20"/>
          <w:szCs w:val="20"/>
        </w:rPr>
      </w:pPr>
      <w:r w:rsidRPr="00D25D7D">
        <w:rPr>
          <w:rFonts w:asciiTheme="minorHAnsi" w:hAnsiTheme="minorHAnsi"/>
          <w:b/>
          <w:sz w:val="20"/>
          <w:szCs w:val="20"/>
        </w:rPr>
        <w:tab/>
      </w:r>
      <w:r w:rsidRPr="00D25D7D">
        <w:rPr>
          <w:rFonts w:asciiTheme="minorHAnsi" w:hAnsiTheme="minorHAnsi"/>
          <w:b/>
          <w:smallCaps/>
          <w:sz w:val="20"/>
          <w:szCs w:val="20"/>
        </w:rPr>
        <w:t>Responsabilités administratives et pédagogiques</w:t>
      </w:r>
    </w:p>
    <w:p w14:paraId="4E6E7999" w14:textId="77777777" w:rsidR="00895ED8" w:rsidRPr="00D25D7D" w:rsidRDefault="00E71CAA" w:rsidP="00895ED8">
      <w:pPr>
        <w:tabs>
          <w:tab w:val="left" w:pos="1701"/>
        </w:tabs>
        <w:spacing w:after="0" w:line="240" w:lineRule="auto"/>
        <w:ind w:left="2832" w:hanging="2832"/>
        <w:jc w:val="both"/>
        <w:rPr>
          <w:rFonts w:asciiTheme="minorHAnsi" w:hAnsiTheme="minorHAnsi"/>
          <w:sz w:val="20"/>
          <w:szCs w:val="20"/>
        </w:rPr>
      </w:pPr>
      <w:r w:rsidRPr="00D25D7D">
        <w:rPr>
          <w:rFonts w:asciiTheme="minorHAnsi" w:hAnsiTheme="minorHAnsi"/>
          <w:b/>
          <w:sz w:val="20"/>
          <w:szCs w:val="20"/>
        </w:rPr>
        <w:t>Responsabilité</w:t>
      </w:r>
      <w:r w:rsidR="009E0C69" w:rsidRPr="00D25D7D">
        <w:rPr>
          <w:rFonts w:asciiTheme="minorHAnsi" w:hAnsiTheme="minorHAnsi"/>
          <w:b/>
          <w:sz w:val="20"/>
          <w:szCs w:val="20"/>
        </w:rPr>
        <w:t>s</w:t>
      </w:r>
      <w:r w:rsidRPr="00D25D7D">
        <w:rPr>
          <w:rFonts w:asciiTheme="minorHAnsi" w:hAnsiTheme="minorHAnsi"/>
          <w:b/>
          <w:sz w:val="20"/>
          <w:szCs w:val="20"/>
        </w:rPr>
        <w:t xml:space="preserve"> actuelle</w:t>
      </w:r>
      <w:r w:rsidR="009E0C69" w:rsidRPr="00D25D7D">
        <w:rPr>
          <w:rFonts w:asciiTheme="minorHAnsi" w:hAnsiTheme="minorHAnsi"/>
          <w:b/>
          <w:sz w:val="20"/>
          <w:szCs w:val="20"/>
        </w:rPr>
        <w:t>s</w:t>
      </w:r>
      <w:r w:rsidRPr="00D25D7D">
        <w:rPr>
          <w:rFonts w:asciiTheme="minorHAnsi" w:hAnsiTheme="minorHAnsi"/>
          <w:b/>
          <w:sz w:val="20"/>
          <w:szCs w:val="20"/>
        </w:rPr>
        <w:t xml:space="preserve"> </w:t>
      </w:r>
      <w:r w:rsidR="005862BC" w:rsidRPr="00D25D7D">
        <w:rPr>
          <w:rFonts w:asciiTheme="minorHAnsi" w:hAnsiTheme="minorHAnsi"/>
          <w:sz w:val="20"/>
          <w:szCs w:val="20"/>
        </w:rPr>
        <w:tab/>
      </w:r>
    </w:p>
    <w:p w14:paraId="5E34509E" w14:textId="401A2CD2" w:rsidR="00D666F5" w:rsidRPr="00D25D7D" w:rsidRDefault="002D7A75" w:rsidP="000C4AC5">
      <w:pPr>
        <w:tabs>
          <w:tab w:val="left" w:pos="1701"/>
        </w:tabs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D25D7D">
        <w:rPr>
          <w:sz w:val="20"/>
          <w:szCs w:val="20"/>
        </w:rPr>
        <w:t>-</w:t>
      </w:r>
      <w:r w:rsidR="00D0661E" w:rsidRPr="00D25D7D">
        <w:rPr>
          <w:sz w:val="20"/>
          <w:szCs w:val="20"/>
        </w:rPr>
        <w:t>Représentante de l’Université Lyon 2 à l’Ecole Do</w:t>
      </w:r>
      <w:r w:rsidR="00895ED8" w:rsidRPr="00D25D7D">
        <w:rPr>
          <w:sz w:val="20"/>
          <w:szCs w:val="20"/>
        </w:rPr>
        <w:t xml:space="preserve">ctorale de Droit du PRES Lyon </w:t>
      </w:r>
      <w:r w:rsidR="000C4AC5" w:rsidRPr="00D25D7D">
        <w:rPr>
          <w:sz w:val="20"/>
          <w:szCs w:val="20"/>
        </w:rPr>
        <w:t>–</w:t>
      </w:r>
      <w:r w:rsidR="00895ED8" w:rsidRPr="00D25D7D">
        <w:rPr>
          <w:sz w:val="20"/>
          <w:szCs w:val="20"/>
        </w:rPr>
        <w:t xml:space="preserve"> </w:t>
      </w:r>
      <w:r w:rsidR="00D0661E" w:rsidRPr="00D25D7D">
        <w:rPr>
          <w:sz w:val="20"/>
          <w:szCs w:val="20"/>
        </w:rPr>
        <w:t>Saint-Etienne (invitée à ce titre au Conseil scientifique, depuis 2011)</w:t>
      </w:r>
    </w:p>
    <w:p w14:paraId="2E281B8D" w14:textId="7B87CCB4" w:rsidR="00D0661E" w:rsidRPr="00D25D7D" w:rsidRDefault="002D7A75" w:rsidP="00781094">
      <w:pPr>
        <w:tabs>
          <w:tab w:val="left" w:pos="1701"/>
        </w:tabs>
        <w:spacing w:after="0" w:line="240" w:lineRule="auto"/>
        <w:ind w:left="1134"/>
        <w:jc w:val="both"/>
        <w:rPr>
          <w:sz w:val="20"/>
          <w:szCs w:val="20"/>
        </w:rPr>
      </w:pPr>
      <w:r w:rsidRPr="00D25D7D">
        <w:rPr>
          <w:sz w:val="20"/>
          <w:szCs w:val="20"/>
        </w:rPr>
        <w:t>-</w:t>
      </w:r>
      <w:r w:rsidR="00C028CD">
        <w:rPr>
          <w:sz w:val="20"/>
          <w:szCs w:val="20"/>
        </w:rPr>
        <w:t>D</w:t>
      </w:r>
      <w:r w:rsidR="00D666F5" w:rsidRPr="00D25D7D">
        <w:rPr>
          <w:sz w:val="20"/>
          <w:szCs w:val="20"/>
        </w:rPr>
        <w:t>irect</w:t>
      </w:r>
      <w:r w:rsidR="00C028CD">
        <w:rPr>
          <w:sz w:val="20"/>
          <w:szCs w:val="20"/>
        </w:rPr>
        <w:t>rice</w:t>
      </w:r>
      <w:r w:rsidR="00D666F5" w:rsidRPr="00D25D7D">
        <w:rPr>
          <w:sz w:val="20"/>
          <w:szCs w:val="20"/>
        </w:rPr>
        <w:t xml:space="preserve"> du Master 2 </w:t>
      </w:r>
      <w:r w:rsidR="00C77AFF">
        <w:rPr>
          <w:sz w:val="20"/>
          <w:szCs w:val="20"/>
        </w:rPr>
        <w:t xml:space="preserve">Droit des affaires – Parcours </w:t>
      </w:r>
      <w:r w:rsidR="00D0661E" w:rsidRPr="00D25D7D">
        <w:rPr>
          <w:sz w:val="20"/>
          <w:szCs w:val="20"/>
        </w:rPr>
        <w:t>Droit de la Propriété intellectuelle -</w:t>
      </w:r>
      <w:r w:rsidR="00D666F5" w:rsidRPr="00D25D7D">
        <w:rPr>
          <w:sz w:val="20"/>
          <w:szCs w:val="20"/>
        </w:rPr>
        <w:t xml:space="preserve"> droit </w:t>
      </w:r>
      <w:r w:rsidR="00C77AFF">
        <w:rPr>
          <w:sz w:val="20"/>
          <w:szCs w:val="20"/>
        </w:rPr>
        <w:t xml:space="preserve">des créations artistiques et esthétiques </w:t>
      </w:r>
      <w:r w:rsidR="007A1D91" w:rsidRPr="00D25D7D">
        <w:rPr>
          <w:sz w:val="20"/>
          <w:szCs w:val="20"/>
        </w:rPr>
        <w:t>»</w:t>
      </w:r>
      <w:r w:rsidR="00C77AFF">
        <w:rPr>
          <w:sz w:val="20"/>
          <w:szCs w:val="20"/>
        </w:rPr>
        <w:t>.</w:t>
      </w:r>
    </w:p>
    <w:p w14:paraId="53B5BFB8" w14:textId="26D28B3C" w:rsidR="00D0661E" w:rsidRPr="00D25D7D" w:rsidRDefault="00D0661E" w:rsidP="000C4AC5">
      <w:pPr>
        <w:tabs>
          <w:tab w:val="left" w:pos="1701"/>
        </w:tabs>
        <w:spacing w:after="0" w:line="240" w:lineRule="auto"/>
        <w:ind w:left="1134"/>
        <w:jc w:val="both"/>
        <w:rPr>
          <w:sz w:val="20"/>
          <w:szCs w:val="20"/>
        </w:rPr>
      </w:pPr>
      <w:r w:rsidRPr="00D25D7D">
        <w:rPr>
          <w:sz w:val="20"/>
          <w:szCs w:val="20"/>
        </w:rPr>
        <w:t xml:space="preserve">-Membre élue du Conseil </w:t>
      </w:r>
      <w:r w:rsidR="00C10F47" w:rsidRPr="00D25D7D">
        <w:rPr>
          <w:sz w:val="20"/>
          <w:szCs w:val="20"/>
        </w:rPr>
        <w:t>de l’U.F.R.</w:t>
      </w:r>
      <w:r w:rsidRPr="00D25D7D">
        <w:rPr>
          <w:sz w:val="20"/>
          <w:szCs w:val="20"/>
        </w:rPr>
        <w:t xml:space="preserve"> droit </w:t>
      </w:r>
      <w:r w:rsidR="00C10F47" w:rsidRPr="00D25D7D">
        <w:rPr>
          <w:sz w:val="20"/>
          <w:szCs w:val="20"/>
        </w:rPr>
        <w:t>(depuis 2010)</w:t>
      </w:r>
    </w:p>
    <w:p w14:paraId="7E88EB54" w14:textId="7634518A" w:rsidR="000B2AEE" w:rsidRPr="00D25D7D" w:rsidRDefault="002D7A75" w:rsidP="000C4AC5">
      <w:pPr>
        <w:tabs>
          <w:tab w:val="left" w:pos="1701"/>
        </w:tabs>
        <w:spacing w:after="0" w:line="240" w:lineRule="auto"/>
        <w:ind w:left="1134"/>
        <w:jc w:val="both"/>
        <w:rPr>
          <w:sz w:val="20"/>
          <w:szCs w:val="20"/>
        </w:rPr>
      </w:pPr>
      <w:r w:rsidRPr="00D25D7D">
        <w:rPr>
          <w:b/>
          <w:sz w:val="20"/>
          <w:szCs w:val="20"/>
        </w:rPr>
        <w:t>-</w:t>
      </w:r>
      <w:r w:rsidR="00C10F47" w:rsidRPr="00D25D7D">
        <w:rPr>
          <w:sz w:val="20"/>
          <w:szCs w:val="20"/>
        </w:rPr>
        <w:t>Membre du Comité d’expert de l’Université Lyon 2 et membre extérieur des comités de sélection (Lyon 3, Saint Etienne et Dijon)</w:t>
      </w:r>
    </w:p>
    <w:p w14:paraId="178C4045" w14:textId="77777777" w:rsidR="000C4AC5" w:rsidRPr="00D25D7D" w:rsidRDefault="00E71CAA" w:rsidP="00A968BE">
      <w:pPr>
        <w:spacing w:line="240" w:lineRule="auto"/>
        <w:ind w:left="2832" w:hanging="2832"/>
        <w:contextualSpacing/>
        <w:jc w:val="both"/>
        <w:rPr>
          <w:b/>
          <w:sz w:val="20"/>
          <w:szCs w:val="20"/>
        </w:rPr>
      </w:pPr>
      <w:r w:rsidRPr="00D25D7D">
        <w:rPr>
          <w:b/>
          <w:sz w:val="20"/>
          <w:szCs w:val="20"/>
        </w:rPr>
        <w:t>Responsabilités passées</w:t>
      </w:r>
      <w:r w:rsidRPr="00D25D7D">
        <w:rPr>
          <w:b/>
          <w:sz w:val="20"/>
          <w:szCs w:val="20"/>
        </w:rPr>
        <w:tab/>
      </w:r>
    </w:p>
    <w:p w14:paraId="2E7D0365" w14:textId="3CAAD762" w:rsidR="00781094" w:rsidRDefault="002D7A75" w:rsidP="000C4AC5">
      <w:pPr>
        <w:spacing w:line="240" w:lineRule="auto"/>
        <w:ind w:left="1134"/>
        <w:contextualSpacing/>
        <w:jc w:val="both"/>
        <w:rPr>
          <w:b/>
          <w:sz w:val="20"/>
          <w:szCs w:val="20"/>
        </w:rPr>
      </w:pPr>
      <w:r w:rsidRPr="00D25D7D">
        <w:rPr>
          <w:b/>
          <w:sz w:val="20"/>
          <w:szCs w:val="20"/>
        </w:rPr>
        <w:t>-</w:t>
      </w:r>
      <w:r w:rsidR="00781094" w:rsidRPr="00781094">
        <w:rPr>
          <w:sz w:val="20"/>
          <w:szCs w:val="20"/>
        </w:rPr>
        <w:t xml:space="preserve"> </w:t>
      </w:r>
      <w:r w:rsidR="00781094" w:rsidRPr="00D25D7D">
        <w:rPr>
          <w:sz w:val="20"/>
          <w:szCs w:val="20"/>
        </w:rPr>
        <w:t>Vice-Doyen chargée de la scolarité et de l’insertion professionnelle (avril 2010</w:t>
      </w:r>
      <w:r w:rsidR="00781094">
        <w:rPr>
          <w:sz w:val="20"/>
          <w:szCs w:val="20"/>
        </w:rPr>
        <w:t>- avril 2015</w:t>
      </w:r>
      <w:r w:rsidR="00781094" w:rsidRPr="00D25D7D">
        <w:rPr>
          <w:sz w:val="20"/>
          <w:szCs w:val="20"/>
        </w:rPr>
        <w:t>)</w:t>
      </w:r>
    </w:p>
    <w:p w14:paraId="02A37203" w14:textId="77777777" w:rsidR="00C10F47" w:rsidRDefault="00C10F47" w:rsidP="000C4AC5">
      <w:pPr>
        <w:spacing w:after="0" w:line="240" w:lineRule="auto"/>
        <w:ind w:left="1134"/>
        <w:jc w:val="both"/>
        <w:rPr>
          <w:sz w:val="20"/>
          <w:szCs w:val="20"/>
        </w:rPr>
      </w:pPr>
      <w:r w:rsidRPr="00D25D7D">
        <w:rPr>
          <w:b/>
          <w:sz w:val="20"/>
          <w:szCs w:val="20"/>
        </w:rPr>
        <w:t>-</w:t>
      </w:r>
      <w:r w:rsidRPr="00D25D7D">
        <w:rPr>
          <w:sz w:val="20"/>
          <w:szCs w:val="20"/>
        </w:rPr>
        <w:t>Res</w:t>
      </w:r>
      <w:r w:rsidR="007E1D7C" w:rsidRPr="00D25D7D">
        <w:rPr>
          <w:sz w:val="20"/>
          <w:szCs w:val="20"/>
        </w:rPr>
        <w:t>ponsable de la L2 en droit (2005</w:t>
      </w:r>
      <w:r w:rsidRPr="00D25D7D">
        <w:rPr>
          <w:sz w:val="20"/>
          <w:szCs w:val="20"/>
        </w:rPr>
        <w:t>-</w:t>
      </w:r>
      <w:r w:rsidR="007E1D7C" w:rsidRPr="00D25D7D">
        <w:rPr>
          <w:sz w:val="20"/>
          <w:szCs w:val="20"/>
        </w:rPr>
        <w:t>2007</w:t>
      </w:r>
      <w:r w:rsidRPr="00D25D7D">
        <w:rPr>
          <w:sz w:val="20"/>
          <w:szCs w:val="20"/>
        </w:rPr>
        <w:t>) puis du M1 droit privé (20</w:t>
      </w:r>
      <w:r w:rsidR="007E1D7C" w:rsidRPr="00D25D7D">
        <w:rPr>
          <w:sz w:val="20"/>
          <w:szCs w:val="20"/>
        </w:rPr>
        <w:t>07</w:t>
      </w:r>
      <w:r w:rsidRPr="00D25D7D">
        <w:rPr>
          <w:sz w:val="20"/>
          <w:szCs w:val="20"/>
        </w:rPr>
        <w:t>- 2013) à la FDSP de l’Université Lyon 2</w:t>
      </w:r>
    </w:p>
    <w:p w14:paraId="45F0DCE9" w14:textId="66C41C31" w:rsidR="00C77AFF" w:rsidRDefault="00781094" w:rsidP="008022F6">
      <w:pPr>
        <w:spacing w:line="240" w:lineRule="auto"/>
        <w:ind w:left="113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25D7D">
        <w:rPr>
          <w:sz w:val="20"/>
          <w:szCs w:val="20"/>
        </w:rPr>
        <w:t>Responsable juridique du service de valorisation à l’Université Clermont 1 (1999-2002)</w:t>
      </w:r>
    </w:p>
    <w:p w14:paraId="5219E19B" w14:textId="77777777" w:rsidR="00C77AFF" w:rsidRPr="00C77AFF" w:rsidRDefault="00C77AFF" w:rsidP="00C77AFF">
      <w:pPr>
        <w:spacing w:line="240" w:lineRule="auto"/>
        <w:jc w:val="both"/>
        <w:rPr>
          <w:sz w:val="20"/>
          <w:szCs w:val="20"/>
        </w:rPr>
      </w:pPr>
      <w:r w:rsidRPr="00C77AFF">
        <w:rPr>
          <w:sz w:val="20"/>
          <w:szCs w:val="20"/>
        </w:rPr>
        <w:t>Membre de l’Equipe de recherche « </w:t>
      </w:r>
      <w:r w:rsidRPr="00C77AFF">
        <w:rPr>
          <w:i/>
          <w:sz w:val="20"/>
          <w:szCs w:val="20"/>
        </w:rPr>
        <w:t>Droit, Contrat, Territoire </w:t>
      </w:r>
      <w:r w:rsidRPr="00C77AFF">
        <w:rPr>
          <w:sz w:val="20"/>
          <w:szCs w:val="20"/>
        </w:rPr>
        <w:t xml:space="preserve">» de la Faculté de droit et science politique ; </w:t>
      </w:r>
      <w:r w:rsidRPr="00C77AFF">
        <w:rPr>
          <w:b/>
          <w:sz w:val="20"/>
          <w:szCs w:val="20"/>
        </w:rPr>
        <w:t>en charge des doctorants</w:t>
      </w:r>
    </w:p>
    <w:p w14:paraId="53597CB5" w14:textId="77777777" w:rsidR="00C10F47" w:rsidRPr="00D25D7D" w:rsidRDefault="00C10F47" w:rsidP="00A968BE">
      <w:pPr>
        <w:spacing w:line="240" w:lineRule="auto"/>
        <w:ind w:left="2832" w:hanging="2832"/>
        <w:contextualSpacing/>
        <w:jc w:val="both"/>
        <w:rPr>
          <w:bCs/>
          <w:sz w:val="20"/>
          <w:szCs w:val="20"/>
        </w:rPr>
      </w:pPr>
    </w:p>
    <w:p w14:paraId="2B121E9F" w14:textId="77777777" w:rsidR="005862BC" w:rsidRPr="00D25D7D" w:rsidRDefault="005862BC" w:rsidP="00490502">
      <w:pPr>
        <w:pBdr>
          <w:bottom w:val="single" w:sz="12" w:space="0" w:color="auto"/>
        </w:pBdr>
        <w:tabs>
          <w:tab w:val="right" w:pos="9809"/>
        </w:tabs>
        <w:spacing w:line="240" w:lineRule="auto"/>
        <w:jc w:val="both"/>
        <w:rPr>
          <w:rFonts w:asciiTheme="minorHAnsi" w:hAnsiTheme="minorHAnsi"/>
          <w:b/>
          <w:smallCaps/>
          <w:sz w:val="20"/>
          <w:szCs w:val="20"/>
        </w:rPr>
      </w:pPr>
      <w:r w:rsidRPr="00D25D7D">
        <w:rPr>
          <w:rFonts w:asciiTheme="minorHAnsi" w:hAnsiTheme="minorHAnsi"/>
          <w:b/>
          <w:sz w:val="20"/>
          <w:szCs w:val="20"/>
        </w:rPr>
        <w:tab/>
      </w:r>
      <w:r w:rsidRPr="00D25D7D">
        <w:rPr>
          <w:rFonts w:asciiTheme="minorHAnsi" w:hAnsiTheme="minorHAnsi"/>
          <w:b/>
          <w:smallCaps/>
          <w:sz w:val="20"/>
          <w:szCs w:val="20"/>
        </w:rPr>
        <w:t>Activités pédagogiques</w:t>
      </w:r>
    </w:p>
    <w:p w14:paraId="712D95B2" w14:textId="503769B8" w:rsidR="005862BC" w:rsidRPr="00D25D7D" w:rsidRDefault="005862BC" w:rsidP="00490502">
      <w:pPr>
        <w:spacing w:after="0" w:line="240" w:lineRule="auto"/>
        <w:ind w:left="709" w:hanging="709"/>
        <w:jc w:val="both"/>
        <w:rPr>
          <w:rFonts w:asciiTheme="minorHAnsi" w:hAnsiTheme="minorHAnsi"/>
          <w:b/>
          <w:sz w:val="20"/>
          <w:szCs w:val="20"/>
        </w:rPr>
      </w:pPr>
      <w:r w:rsidRPr="00D25D7D">
        <w:rPr>
          <w:rFonts w:asciiTheme="minorHAnsi" w:hAnsiTheme="minorHAnsi"/>
          <w:b/>
          <w:sz w:val="20"/>
          <w:szCs w:val="20"/>
        </w:rPr>
        <w:t xml:space="preserve">Enseignements à l’Université </w:t>
      </w:r>
      <w:r w:rsidR="00895ED8" w:rsidRPr="00D25D7D">
        <w:rPr>
          <w:rFonts w:asciiTheme="minorHAnsi" w:hAnsiTheme="minorHAnsi"/>
          <w:b/>
          <w:sz w:val="20"/>
          <w:szCs w:val="20"/>
        </w:rPr>
        <w:t>Lumière – Lyon 2</w:t>
      </w:r>
    </w:p>
    <w:p w14:paraId="746EB3B0" w14:textId="59BEEACD" w:rsidR="00895ED8" w:rsidRPr="00D25D7D" w:rsidRDefault="005862BC" w:rsidP="00895ED8">
      <w:pPr>
        <w:pStyle w:val="Pardeliste"/>
        <w:numPr>
          <w:ilvl w:val="0"/>
          <w:numId w:val="4"/>
        </w:numPr>
        <w:spacing w:after="40" w:line="240" w:lineRule="auto"/>
        <w:jc w:val="both"/>
        <w:rPr>
          <w:sz w:val="20"/>
          <w:szCs w:val="20"/>
        </w:rPr>
      </w:pPr>
      <w:r w:rsidRPr="00D25D7D">
        <w:rPr>
          <w:sz w:val="20"/>
          <w:szCs w:val="20"/>
          <w:u w:val="single"/>
        </w:rPr>
        <w:t>Cours magistraux</w:t>
      </w:r>
      <w:r w:rsidRPr="00D25D7D">
        <w:rPr>
          <w:sz w:val="20"/>
          <w:szCs w:val="20"/>
        </w:rPr>
        <w:t xml:space="preserve"> </w:t>
      </w:r>
      <w:r w:rsidR="00895ED8" w:rsidRPr="00D25D7D">
        <w:rPr>
          <w:sz w:val="20"/>
          <w:szCs w:val="20"/>
        </w:rPr>
        <w:t>Institu</w:t>
      </w:r>
      <w:r w:rsidR="00C77AFF">
        <w:rPr>
          <w:sz w:val="20"/>
          <w:szCs w:val="20"/>
        </w:rPr>
        <w:t>tions juridictionnelles (L1</w:t>
      </w:r>
      <w:r w:rsidR="00895ED8" w:rsidRPr="00D25D7D">
        <w:rPr>
          <w:sz w:val="20"/>
          <w:szCs w:val="20"/>
        </w:rPr>
        <w:t xml:space="preserve">), Droit de la </w:t>
      </w:r>
      <w:r w:rsidR="000C4AC5" w:rsidRPr="00D25D7D">
        <w:rPr>
          <w:sz w:val="20"/>
          <w:szCs w:val="20"/>
        </w:rPr>
        <w:t>PLA</w:t>
      </w:r>
      <w:r w:rsidR="00C77AFF">
        <w:rPr>
          <w:sz w:val="20"/>
          <w:szCs w:val="20"/>
        </w:rPr>
        <w:t xml:space="preserve"> (L3</w:t>
      </w:r>
      <w:r w:rsidR="00895ED8" w:rsidRPr="00D25D7D">
        <w:rPr>
          <w:sz w:val="20"/>
          <w:szCs w:val="20"/>
        </w:rPr>
        <w:t xml:space="preserve">), Droit </w:t>
      </w:r>
      <w:r w:rsidR="00C028CD">
        <w:rPr>
          <w:sz w:val="20"/>
          <w:szCs w:val="20"/>
        </w:rPr>
        <w:t>de la propriété industrielle M1, 31H</w:t>
      </w:r>
      <w:r w:rsidR="00895ED8" w:rsidRPr="00D25D7D">
        <w:rPr>
          <w:sz w:val="20"/>
          <w:szCs w:val="20"/>
        </w:rPr>
        <w:t xml:space="preserve">), </w:t>
      </w:r>
      <w:r w:rsidR="00C77AFF">
        <w:rPr>
          <w:sz w:val="20"/>
          <w:szCs w:val="20"/>
        </w:rPr>
        <w:t>Droit de la concurrence (M1</w:t>
      </w:r>
      <w:r w:rsidR="00895ED8" w:rsidRPr="00D25D7D">
        <w:rPr>
          <w:sz w:val="20"/>
          <w:szCs w:val="20"/>
        </w:rPr>
        <w:t>)</w:t>
      </w:r>
    </w:p>
    <w:p w14:paraId="7CD4C8FE" w14:textId="087AC1C0" w:rsidR="005862BC" w:rsidRPr="00D25D7D" w:rsidRDefault="005862BC" w:rsidP="00895ED8">
      <w:pPr>
        <w:pStyle w:val="Pardeliste"/>
        <w:numPr>
          <w:ilvl w:val="0"/>
          <w:numId w:val="4"/>
        </w:numPr>
        <w:spacing w:after="40" w:line="240" w:lineRule="auto"/>
        <w:jc w:val="both"/>
        <w:rPr>
          <w:sz w:val="20"/>
          <w:szCs w:val="20"/>
        </w:rPr>
      </w:pPr>
      <w:r w:rsidRPr="00D25D7D">
        <w:rPr>
          <w:sz w:val="20"/>
          <w:szCs w:val="20"/>
        </w:rPr>
        <w:t> </w:t>
      </w:r>
      <w:r w:rsidR="00895ED8" w:rsidRPr="00D25D7D">
        <w:rPr>
          <w:iCs/>
          <w:sz w:val="20"/>
          <w:szCs w:val="20"/>
          <w:u w:val="single"/>
        </w:rPr>
        <w:t>Séminaires de M</w:t>
      </w:r>
      <w:r w:rsidRPr="00D25D7D">
        <w:rPr>
          <w:iCs/>
          <w:sz w:val="20"/>
          <w:szCs w:val="20"/>
          <w:u w:val="single"/>
        </w:rPr>
        <w:t>2</w:t>
      </w:r>
      <w:r w:rsidRPr="00D25D7D">
        <w:rPr>
          <w:i/>
          <w:sz w:val="20"/>
          <w:szCs w:val="20"/>
        </w:rPr>
        <w:t xml:space="preserve"> : </w:t>
      </w:r>
      <w:r w:rsidR="00C77AFF" w:rsidRPr="00C77AFF">
        <w:rPr>
          <w:b/>
          <w:sz w:val="20"/>
          <w:szCs w:val="20"/>
        </w:rPr>
        <w:t xml:space="preserve">UFR </w:t>
      </w:r>
      <w:r w:rsidR="00895ED8" w:rsidRPr="00D25D7D">
        <w:rPr>
          <w:b/>
          <w:sz w:val="20"/>
          <w:szCs w:val="20"/>
        </w:rPr>
        <w:t>Droit :</w:t>
      </w:r>
      <w:r w:rsidR="00895ED8" w:rsidRPr="00D25D7D">
        <w:rPr>
          <w:sz w:val="20"/>
          <w:szCs w:val="20"/>
        </w:rPr>
        <w:t xml:space="preserve"> Droit d’auteur et droits voisins, </w:t>
      </w:r>
      <w:r w:rsidR="00C77AFF">
        <w:rPr>
          <w:sz w:val="20"/>
          <w:szCs w:val="20"/>
        </w:rPr>
        <w:t xml:space="preserve">Droit des dessins et modèles, </w:t>
      </w:r>
      <w:r w:rsidR="00895ED8" w:rsidRPr="00D25D7D">
        <w:rPr>
          <w:sz w:val="20"/>
          <w:szCs w:val="20"/>
        </w:rPr>
        <w:t>Droit européen</w:t>
      </w:r>
      <w:r w:rsidR="00C77AFF">
        <w:rPr>
          <w:sz w:val="20"/>
          <w:szCs w:val="20"/>
        </w:rPr>
        <w:t xml:space="preserve"> et international de la PI, Droit de la PI – Mécénat,</w:t>
      </w:r>
      <w:r w:rsidR="00895ED8" w:rsidRPr="00D25D7D">
        <w:rPr>
          <w:sz w:val="20"/>
          <w:szCs w:val="20"/>
        </w:rPr>
        <w:t xml:space="preserve"> Contrats d’exploitation, </w:t>
      </w:r>
      <w:r w:rsidR="00C77AFF">
        <w:rPr>
          <w:sz w:val="20"/>
          <w:szCs w:val="20"/>
        </w:rPr>
        <w:t xml:space="preserve">Rédaction de contrats - </w:t>
      </w:r>
      <w:r w:rsidR="00895ED8" w:rsidRPr="00D25D7D">
        <w:rPr>
          <w:sz w:val="20"/>
          <w:szCs w:val="20"/>
        </w:rPr>
        <w:t>Contrats de R&amp;D</w:t>
      </w:r>
      <w:r w:rsidR="00C77AFF">
        <w:rPr>
          <w:sz w:val="20"/>
          <w:szCs w:val="20"/>
        </w:rPr>
        <w:t xml:space="preserve"> et propriété </w:t>
      </w:r>
      <w:proofErr w:type="gramStart"/>
      <w:r w:rsidR="00C77AFF">
        <w:rPr>
          <w:sz w:val="20"/>
          <w:szCs w:val="20"/>
        </w:rPr>
        <w:t>industrielle</w:t>
      </w:r>
      <w:r w:rsidR="00895ED8" w:rsidRPr="00D25D7D">
        <w:rPr>
          <w:sz w:val="20"/>
          <w:szCs w:val="20"/>
        </w:rPr>
        <w:t>;</w:t>
      </w:r>
      <w:proofErr w:type="gramEnd"/>
      <w:r w:rsidR="00895ED8" w:rsidRPr="00D25D7D">
        <w:rPr>
          <w:sz w:val="20"/>
          <w:szCs w:val="20"/>
        </w:rPr>
        <w:t> </w:t>
      </w:r>
      <w:r w:rsidR="00C77AFF" w:rsidRPr="00C77AFF">
        <w:rPr>
          <w:b/>
          <w:sz w:val="20"/>
          <w:szCs w:val="20"/>
        </w:rPr>
        <w:t xml:space="preserve">UFR </w:t>
      </w:r>
      <w:r w:rsidR="00895ED8" w:rsidRPr="00D25D7D">
        <w:rPr>
          <w:b/>
          <w:sz w:val="20"/>
          <w:szCs w:val="20"/>
        </w:rPr>
        <w:t>Science économique et communication</w:t>
      </w:r>
      <w:r w:rsidR="00895ED8" w:rsidRPr="00D25D7D">
        <w:rPr>
          <w:sz w:val="20"/>
          <w:szCs w:val="20"/>
        </w:rPr>
        <w:t xml:space="preserve"> :</w:t>
      </w:r>
      <w:r w:rsidR="00895ED8" w:rsidRPr="00D25D7D">
        <w:rPr>
          <w:i/>
          <w:sz w:val="20"/>
          <w:szCs w:val="20"/>
        </w:rPr>
        <w:t xml:space="preserve"> </w:t>
      </w:r>
      <w:r w:rsidR="00895ED8" w:rsidRPr="00D25D7D">
        <w:rPr>
          <w:sz w:val="20"/>
          <w:szCs w:val="20"/>
        </w:rPr>
        <w:t>Droit de la PLA - Contrats et conventions colle</w:t>
      </w:r>
      <w:r w:rsidR="00C77AFF">
        <w:rPr>
          <w:sz w:val="20"/>
          <w:szCs w:val="20"/>
        </w:rPr>
        <w:t>ctives du spectacle vivant - Droit des marques</w:t>
      </w:r>
      <w:r w:rsidR="00C77AFF">
        <w:rPr>
          <w:i/>
          <w:sz w:val="20"/>
          <w:szCs w:val="20"/>
        </w:rPr>
        <w:t xml:space="preserve">, </w:t>
      </w:r>
      <w:r w:rsidR="00C77AFF">
        <w:rPr>
          <w:sz w:val="20"/>
          <w:szCs w:val="20"/>
        </w:rPr>
        <w:t xml:space="preserve">DA et jeux vidéos, </w:t>
      </w:r>
      <w:r w:rsidR="00C77AFF" w:rsidRPr="00C77AFF">
        <w:rPr>
          <w:b/>
          <w:sz w:val="20"/>
          <w:szCs w:val="20"/>
        </w:rPr>
        <w:t xml:space="preserve">UFR </w:t>
      </w:r>
      <w:r w:rsidR="00C77AFF">
        <w:rPr>
          <w:b/>
          <w:sz w:val="20"/>
          <w:szCs w:val="20"/>
        </w:rPr>
        <w:t xml:space="preserve">Lettres : </w:t>
      </w:r>
      <w:r w:rsidR="00C77AFF">
        <w:rPr>
          <w:sz w:val="20"/>
          <w:szCs w:val="20"/>
        </w:rPr>
        <w:t>PLA et droit des traducteurs.</w:t>
      </w:r>
    </w:p>
    <w:p w14:paraId="3E842292" w14:textId="5DE65098" w:rsidR="00895ED8" w:rsidRPr="00D25D7D" w:rsidRDefault="00895ED8" w:rsidP="00895ED8">
      <w:pPr>
        <w:spacing w:after="40" w:line="240" w:lineRule="auto"/>
        <w:jc w:val="both"/>
        <w:rPr>
          <w:sz w:val="20"/>
          <w:szCs w:val="20"/>
        </w:rPr>
      </w:pPr>
      <w:r w:rsidRPr="00D25D7D">
        <w:rPr>
          <w:b/>
          <w:sz w:val="20"/>
          <w:szCs w:val="20"/>
        </w:rPr>
        <w:t>Enseignements en M2 dans des Universités extérieures </w:t>
      </w:r>
      <w:r w:rsidRPr="00D25D7D">
        <w:rPr>
          <w:sz w:val="20"/>
          <w:szCs w:val="20"/>
        </w:rPr>
        <w:t>(Lyon 3, Saint-Etienne, Bourgogne</w:t>
      </w:r>
      <w:r w:rsidR="00781094">
        <w:rPr>
          <w:sz w:val="20"/>
          <w:szCs w:val="20"/>
        </w:rPr>
        <w:t>, Grenoble</w:t>
      </w:r>
      <w:r w:rsidRPr="00D25D7D">
        <w:rPr>
          <w:sz w:val="20"/>
          <w:szCs w:val="20"/>
        </w:rPr>
        <w:t>)</w:t>
      </w:r>
    </w:p>
    <w:p w14:paraId="54DC79DA" w14:textId="6ECA15F4" w:rsidR="00895ED8" w:rsidRPr="00D25D7D" w:rsidRDefault="00781094" w:rsidP="00895ED8">
      <w:pPr>
        <w:spacing w:after="4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Missions internationales </w:t>
      </w:r>
      <w:r w:rsidR="00895ED8" w:rsidRPr="00D25D7D">
        <w:rPr>
          <w:b/>
          <w:sz w:val="20"/>
          <w:szCs w:val="20"/>
        </w:rPr>
        <w:t xml:space="preserve">dans des Universités étrangères </w:t>
      </w:r>
      <w:r w:rsidR="00895ED8" w:rsidRPr="00D25D7D">
        <w:rPr>
          <w:sz w:val="20"/>
          <w:szCs w:val="20"/>
        </w:rPr>
        <w:t>(Bulgarie ; Canada ; Allemagne ; Cambodge ; Maroc</w:t>
      </w:r>
      <w:r w:rsidR="00C77AFF">
        <w:rPr>
          <w:sz w:val="20"/>
          <w:szCs w:val="20"/>
        </w:rPr>
        <w:t> ; Brésil</w:t>
      </w:r>
      <w:r w:rsidR="00895ED8" w:rsidRPr="00D25D7D">
        <w:rPr>
          <w:sz w:val="20"/>
          <w:szCs w:val="20"/>
        </w:rPr>
        <w:t>)</w:t>
      </w:r>
    </w:p>
    <w:p w14:paraId="0A2FB7E1" w14:textId="77777777" w:rsidR="005862BC" w:rsidRPr="00D25D7D" w:rsidRDefault="005862BC" w:rsidP="00490502">
      <w:pPr>
        <w:pBdr>
          <w:bottom w:val="single" w:sz="12" w:space="1" w:color="auto"/>
        </w:pBdr>
        <w:tabs>
          <w:tab w:val="right" w:pos="9809"/>
        </w:tabs>
        <w:spacing w:line="240" w:lineRule="auto"/>
        <w:jc w:val="both"/>
        <w:rPr>
          <w:rFonts w:asciiTheme="minorHAnsi" w:hAnsiTheme="minorHAnsi"/>
          <w:b/>
          <w:smallCaps/>
          <w:sz w:val="20"/>
          <w:szCs w:val="20"/>
        </w:rPr>
      </w:pPr>
      <w:r w:rsidRPr="00D25D7D">
        <w:rPr>
          <w:rFonts w:asciiTheme="minorHAnsi" w:hAnsiTheme="minorHAnsi"/>
          <w:b/>
          <w:sz w:val="20"/>
          <w:szCs w:val="20"/>
        </w:rPr>
        <w:tab/>
      </w:r>
      <w:r w:rsidRPr="00D25D7D">
        <w:rPr>
          <w:rFonts w:asciiTheme="minorHAnsi" w:hAnsiTheme="minorHAnsi"/>
          <w:b/>
          <w:smallCaps/>
          <w:sz w:val="20"/>
          <w:szCs w:val="20"/>
        </w:rPr>
        <w:t>Encadrements de travaux</w:t>
      </w:r>
    </w:p>
    <w:p w14:paraId="32781464" w14:textId="00A01E30" w:rsidR="00690E9E" w:rsidRPr="00D25D7D" w:rsidRDefault="00690E9E" w:rsidP="00690E9E">
      <w:pPr>
        <w:pStyle w:val="En-tt"/>
        <w:contextualSpacing/>
        <w:rPr>
          <w:rFonts w:ascii="Calibri" w:hAnsi="Calibri"/>
          <w:sz w:val="20"/>
          <w:szCs w:val="20"/>
        </w:rPr>
      </w:pPr>
      <w:r w:rsidRPr="00D25D7D">
        <w:rPr>
          <w:rFonts w:ascii="Calibri" w:hAnsi="Calibri"/>
          <w:b/>
          <w:sz w:val="20"/>
          <w:szCs w:val="20"/>
        </w:rPr>
        <w:t>Jurys de thèses </w:t>
      </w:r>
      <w:r w:rsidRPr="00D25D7D">
        <w:rPr>
          <w:rFonts w:ascii="Calibri" w:hAnsi="Calibri"/>
          <w:sz w:val="20"/>
          <w:szCs w:val="20"/>
        </w:rPr>
        <w:t xml:space="preserve">: rapporteur </w:t>
      </w:r>
      <w:r w:rsidR="00DD6EAE">
        <w:rPr>
          <w:rFonts w:ascii="Calibri" w:hAnsi="Calibri"/>
          <w:sz w:val="20"/>
          <w:szCs w:val="20"/>
        </w:rPr>
        <w:t>et</w:t>
      </w:r>
      <w:r w:rsidRPr="00D25D7D">
        <w:rPr>
          <w:rFonts w:ascii="Calibri" w:hAnsi="Calibri"/>
          <w:sz w:val="20"/>
          <w:szCs w:val="20"/>
        </w:rPr>
        <w:t xml:space="preserve"> participation à </w:t>
      </w:r>
      <w:r w:rsidR="00DD6EAE">
        <w:rPr>
          <w:rFonts w:ascii="Calibri" w:hAnsi="Calibri"/>
          <w:sz w:val="20"/>
          <w:szCs w:val="20"/>
        </w:rPr>
        <w:t xml:space="preserve">plusieurs </w:t>
      </w:r>
      <w:proofErr w:type="gramStart"/>
      <w:r w:rsidRPr="00D25D7D">
        <w:rPr>
          <w:rFonts w:ascii="Calibri" w:hAnsi="Calibri"/>
          <w:sz w:val="20"/>
          <w:szCs w:val="20"/>
        </w:rPr>
        <w:t>jurys  (</w:t>
      </w:r>
      <w:proofErr w:type="gramEnd"/>
      <w:r w:rsidRPr="00D25D7D">
        <w:rPr>
          <w:rFonts w:ascii="Calibri" w:hAnsi="Calibri"/>
          <w:sz w:val="20"/>
          <w:szCs w:val="20"/>
        </w:rPr>
        <w:t>Université Lyon 2, Grenoble-Alpes) </w:t>
      </w:r>
    </w:p>
    <w:p w14:paraId="63ADF31A" w14:textId="43B2FF6B" w:rsidR="005862BC" w:rsidRPr="00D25D7D" w:rsidRDefault="00690E9E" w:rsidP="00690E9E">
      <w:pPr>
        <w:spacing w:after="80" w:line="240" w:lineRule="auto"/>
        <w:jc w:val="both"/>
        <w:rPr>
          <w:sz w:val="20"/>
          <w:szCs w:val="20"/>
        </w:rPr>
      </w:pPr>
      <w:r w:rsidRPr="00D25D7D">
        <w:rPr>
          <w:sz w:val="20"/>
          <w:szCs w:val="20"/>
        </w:rPr>
        <w:t>Participation à des</w:t>
      </w:r>
      <w:r w:rsidRPr="00D25D7D">
        <w:rPr>
          <w:b/>
          <w:sz w:val="20"/>
          <w:szCs w:val="20"/>
        </w:rPr>
        <w:t xml:space="preserve"> jurys d’HDR</w:t>
      </w:r>
      <w:r w:rsidR="009D4405" w:rsidRPr="00D25D7D">
        <w:rPr>
          <w:sz w:val="20"/>
          <w:szCs w:val="20"/>
        </w:rPr>
        <w:t>.</w:t>
      </w:r>
    </w:p>
    <w:p w14:paraId="4F017537" w14:textId="19B2C2D3" w:rsidR="00690E9E" w:rsidRPr="00D25D7D" w:rsidRDefault="00690E9E" w:rsidP="00690E9E">
      <w:pPr>
        <w:pStyle w:val="En-tt"/>
        <w:contextualSpacing/>
        <w:rPr>
          <w:rFonts w:ascii="Calibri" w:hAnsi="Calibri"/>
          <w:sz w:val="20"/>
          <w:szCs w:val="20"/>
        </w:rPr>
      </w:pPr>
      <w:r w:rsidRPr="00D25D7D">
        <w:rPr>
          <w:rFonts w:ascii="Calibri" w:hAnsi="Calibri"/>
          <w:b/>
          <w:sz w:val="20"/>
          <w:szCs w:val="20"/>
        </w:rPr>
        <w:t>Encadrement de mémoires de M1 et M2</w:t>
      </w:r>
      <w:r w:rsidRPr="00D25D7D">
        <w:rPr>
          <w:rFonts w:ascii="Calibri" w:hAnsi="Calibri"/>
          <w:sz w:val="20"/>
          <w:szCs w:val="20"/>
        </w:rPr>
        <w:t xml:space="preserve"> (Universités Lyon 2 et Lyon 3)</w:t>
      </w:r>
    </w:p>
    <w:p w14:paraId="23540769" w14:textId="518054D6" w:rsidR="005862BC" w:rsidRPr="00D25D7D" w:rsidRDefault="00690E9E" w:rsidP="00690E9E">
      <w:pPr>
        <w:spacing w:after="80" w:line="240" w:lineRule="auto"/>
        <w:jc w:val="both"/>
        <w:rPr>
          <w:sz w:val="20"/>
          <w:szCs w:val="20"/>
        </w:rPr>
      </w:pPr>
      <w:r w:rsidRPr="00781094">
        <w:rPr>
          <w:b/>
          <w:sz w:val="20"/>
          <w:szCs w:val="20"/>
        </w:rPr>
        <w:t xml:space="preserve">Organisation </w:t>
      </w:r>
      <w:r w:rsidR="00781094">
        <w:rPr>
          <w:b/>
          <w:sz w:val="20"/>
          <w:szCs w:val="20"/>
        </w:rPr>
        <w:t xml:space="preserve">et animation </w:t>
      </w:r>
      <w:r w:rsidRPr="00D25D7D">
        <w:rPr>
          <w:sz w:val="20"/>
          <w:szCs w:val="20"/>
        </w:rPr>
        <w:t>de séances de</w:t>
      </w:r>
      <w:r w:rsidRPr="00D25D7D">
        <w:rPr>
          <w:b/>
          <w:sz w:val="20"/>
          <w:szCs w:val="20"/>
        </w:rPr>
        <w:t xml:space="preserve"> présentation des travaux de thèse</w:t>
      </w:r>
      <w:r w:rsidRPr="00D25D7D">
        <w:rPr>
          <w:sz w:val="20"/>
          <w:szCs w:val="20"/>
        </w:rPr>
        <w:t xml:space="preserve"> pour les doctorants de l’Université Lyon 2</w:t>
      </w:r>
      <w:r w:rsidR="00BE77CD" w:rsidRPr="00D25D7D">
        <w:rPr>
          <w:sz w:val="20"/>
          <w:szCs w:val="20"/>
        </w:rPr>
        <w:t>.</w:t>
      </w:r>
    </w:p>
    <w:p w14:paraId="4DEE6831" w14:textId="30683299" w:rsidR="00690E9E" w:rsidRPr="00D25D7D" w:rsidRDefault="001F39BB" w:rsidP="001F39BB">
      <w:pPr>
        <w:pBdr>
          <w:bottom w:val="single" w:sz="12" w:space="1" w:color="auto"/>
        </w:pBdr>
        <w:tabs>
          <w:tab w:val="right" w:pos="9809"/>
        </w:tabs>
        <w:spacing w:line="240" w:lineRule="auto"/>
        <w:jc w:val="right"/>
        <w:rPr>
          <w:rFonts w:asciiTheme="minorHAnsi" w:hAnsiTheme="minorHAnsi"/>
          <w:b/>
          <w:smallCaps/>
          <w:sz w:val="20"/>
          <w:szCs w:val="20"/>
        </w:rPr>
      </w:pPr>
      <w:r w:rsidRPr="00D25D7D">
        <w:rPr>
          <w:rFonts w:asciiTheme="minorHAnsi" w:hAnsiTheme="minorHAnsi"/>
          <w:b/>
          <w:smallCaps/>
          <w:sz w:val="20"/>
          <w:szCs w:val="20"/>
        </w:rPr>
        <w:tab/>
        <w:t>Responsabilité scientifique</w:t>
      </w:r>
    </w:p>
    <w:p w14:paraId="73E5FFE8" w14:textId="0C7A7DA3" w:rsidR="00DD6EAE" w:rsidRPr="00A865E2" w:rsidRDefault="00690E9E" w:rsidP="00690E9E">
      <w:pPr>
        <w:widowControl w:val="0"/>
        <w:autoSpaceDE w:val="0"/>
        <w:autoSpaceDN w:val="0"/>
        <w:adjustRightInd w:val="0"/>
        <w:jc w:val="both"/>
        <w:rPr>
          <w:color w:val="353535"/>
          <w:sz w:val="20"/>
          <w:szCs w:val="20"/>
          <w:lang w:bidi="fr-FR"/>
        </w:rPr>
      </w:pPr>
      <w:r w:rsidRPr="00A865E2">
        <w:rPr>
          <w:b/>
          <w:sz w:val="20"/>
          <w:szCs w:val="20"/>
          <w:lang w:bidi="fr-FR"/>
        </w:rPr>
        <w:t xml:space="preserve">Co-création et </w:t>
      </w:r>
      <w:proofErr w:type="spellStart"/>
      <w:r w:rsidRPr="00A865E2">
        <w:rPr>
          <w:b/>
          <w:sz w:val="20"/>
          <w:szCs w:val="20"/>
          <w:lang w:bidi="fr-FR"/>
        </w:rPr>
        <w:t>co-direction</w:t>
      </w:r>
      <w:proofErr w:type="spellEnd"/>
      <w:r w:rsidRPr="00A865E2">
        <w:rPr>
          <w:b/>
          <w:sz w:val="20"/>
          <w:szCs w:val="20"/>
          <w:lang w:bidi="fr-FR"/>
        </w:rPr>
        <w:t xml:space="preserve"> scientifique</w:t>
      </w:r>
      <w:r w:rsidRPr="00A865E2">
        <w:rPr>
          <w:i/>
          <w:sz w:val="20"/>
          <w:szCs w:val="20"/>
          <w:lang w:bidi="fr-FR"/>
        </w:rPr>
        <w:t xml:space="preserve"> de la Revue </w:t>
      </w:r>
      <w:proofErr w:type="spellStart"/>
      <w:r w:rsidRPr="00A865E2">
        <w:rPr>
          <w:i/>
          <w:sz w:val="20"/>
          <w:szCs w:val="20"/>
          <w:lang w:bidi="fr-FR"/>
        </w:rPr>
        <w:t>Juris</w:t>
      </w:r>
      <w:proofErr w:type="spellEnd"/>
      <w:r w:rsidRPr="00A865E2">
        <w:rPr>
          <w:i/>
          <w:sz w:val="20"/>
          <w:szCs w:val="20"/>
          <w:lang w:bidi="fr-FR"/>
        </w:rPr>
        <w:t xml:space="preserve">-Art </w:t>
      </w:r>
      <w:proofErr w:type="spellStart"/>
      <w:r w:rsidRPr="00A865E2">
        <w:rPr>
          <w:i/>
          <w:sz w:val="20"/>
          <w:szCs w:val="20"/>
          <w:lang w:bidi="fr-FR"/>
        </w:rPr>
        <w:t>etc</w:t>
      </w:r>
      <w:proofErr w:type="spellEnd"/>
      <w:r w:rsidRPr="00A865E2">
        <w:rPr>
          <w:color w:val="353535"/>
          <w:sz w:val="20"/>
          <w:szCs w:val="20"/>
          <w:lang w:bidi="fr-FR"/>
        </w:rPr>
        <w:t>, Editeur Dalloz (avril 2013</w:t>
      </w:r>
      <w:r w:rsidR="00DD6EAE">
        <w:rPr>
          <w:color w:val="353535"/>
          <w:sz w:val="20"/>
          <w:szCs w:val="20"/>
          <w:lang w:bidi="fr-FR"/>
        </w:rPr>
        <w:t>-2017</w:t>
      </w:r>
      <w:r w:rsidRPr="00A865E2">
        <w:rPr>
          <w:color w:val="353535"/>
          <w:sz w:val="20"/>
          <w:szCs w:val="20"/>
          <w:lang w:bidi="fr-FR"/>
        </w:rPr>
        <w:t>) </w:t>
      </w:r>
    </w:p>
    <w:p w14:paraId="69AD0E40" w14:textId="3764DE5B" w:rsidR="00BE77CD" w:rsidRPr="00D25D7D" w:rsidRDefault="00BE77CD" w:rsidP="00490502">
      <w:pPr>
        <w:pBdr>
          <w:bottom w:val="single" w:sz="12" w:space="1" w:color="auto"/>
        </w:pBdr>
        <w:tabs>
          <w:tab w:val="right" w:pos="9809"/>
        </w:tabs>
        <w:spacing w:line="240" w:lineRule="auto"/>
        <w:jc w:val="both"/>
        <w:rPr>
          <w:rFonts w:asciiTheme="minorHAnsi" w:hAnsiTheme="minorHAnsi"/>
          <w:b/>
          <w:smallCaps/>
          <w:sz w:val="20"/>
          <w:szCs w:val="20"/>
        </w:rPr>
      </w:pPr>
      <w:r w:rsidRPr="00D25D7D">
        <w:rPr>
          <w:rFonts w:asciiTheme="minorHAnsi" w:hAnsiTheme="minorHAnsi"/>
          <w:b/>
          <w:sz w:val="20"/>
          <w:szCs w:val="20"/>
        </w:rPr>
        <w:tab/>
      </w:r>
      <w:r w:rsidRPr="00D25D7D">
        <w:rPr>
          <w:rFonts w:asciiTheme="minorHAnsi" w:hAnsiTheme="minorHAnsi"/>
          <w:b/>
          <w:smallCaps/>
          <w:sz w:val="20"/>
          <w:szCs w:val="20"/>
        </w:rPr>
        <w:t xml:space="preserve"> </w:t>
      </w:r>
      <w:r w:rsidR="001F39BB" w:rsidRPr="00D25D7D">
        <w:rPr>
          <w:rFonts w:asciiTheme="minorHAnsi" w:hAnsiTheme="minorHAnsi"/>
          <w:b/>
          <w:smallCaps/>
          <w:sz w:val="20"/>
          <w:szCs w:val="20"/>
        </w:rPr>
        <w:t>T</w:t>
      </w:r>
      <w:r w:rsidRPr="00D25D7D">
        <w:rPr>
          <w:rFonts w:asciiTheme="minorHAnsi" w:hAnsiTheme="minorHAnsi"/>
          <w:b/>
          <w:smallCaps/>
          <w:sz w:val="20"/>
          <w:szCs w:val="20"/>
        </w:rPr>
        <w:t>ravaux</w:t>
      </w:r>
      <w:r w:rsidR="00DD6EAE">
        <w:rPr>
          <w:rFonts w:asciiTheme="minorHAnsi" w:hAnsiTheme="minorHAnsi"/>
          <w:b/>
          <w:smallCaps/>
          <w:sz w:val="20"/>
          <w:szCs w:val="20"/>
        </w:rPr>
        <w:t xml:space="preserve"> (non exhaustif)</w:t>
      </w:r>
    </w:p>
    <w:p w14:paraId="1C3B23A8" w14:textId="256CC271" w:rsidR="00DD6EAE" w:rsidRPr="008022F6" w:rsidRDefault="00DD6EAE" w:rsidP="008022F6">
      <w:pPr>
        <w:spacing w:after="40" w:line="240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8022F6">
        <w:rPr>
          <w:rFonts w:asciiTheme="minorHAnsi" w:hAnsiTheme="minorHAnsi"/>
          <w:b/>
          <w:sz w:val="20"/>
          <w:szCs w:val="20"/>
        </w:rPr>
        <w:t xml:space="preserve">Participation à des ouvrages collectifs </w:t>
      </w:r>
      <w:r w:rsidRPr="008022F6">
        <w:rPr>
          <w:rFonts w:asciiTheme="minorHAnsi" w:hAnsiTheme="minorHAnsi"/>
          <w:b/>
          <w:sz w:val="20"/>
          <w:szCs w:val="20"/>
        </w:rPr>
        <w:t xml:space="preserve"> </w:t>
      </w:r>
    </w:p>
    <w:p w14:paraId="58D09FAC" w14:textId="327240B4" w:rsidR="00DD6EAE" w:rsidRPr="008022F6" w:rsidRDefault="00DD6EAE" w:rsidP="008022F6">
      <w:pPr>
        <w:pStyle w:val="Pardeliste"/>
        <w:numPr>
          <w:ilvl w:val="0"/>
          <w:numId w:val="2"/>
        </w:numPr>
        <w:spacing w:before="240" w:line="240" w:lineRule="auto"/>
        <w:jc w:val="both"/>
        <w:rPr>
          <w:rFonts w:cs="Helvetica"/>
          <w:sz w:val="20"/>
          <w:szCs w:val="20"/>
          <w:lang w:bidi="fr-FR"/>
        </w:rPr>
      </w:pPr>
      <w:r w:rsidRPr="008022F6">
        <w:rPr>
          <w:rFonts w:cs="Helvetica"/>
          <w:sz w:val="20"/>
          <w:szCs w:val="20"/>
          <w:lang w:bidi="fr-FR"/>
        </w:rPr>
        <w:lastRenderedPageBreak/>
        <w:t xml:space="preserve">« Renforcement des règles relatives à la transparence en droit de la propriété intellectuelle », in </w:t>
      </w:r>
      <w:r w:rsidRPr="008022F6">
        <w:rPr>
          <w:rFonts w:cs="Helvetica"/>
          <w:i/>
          <w:sz w:val="20"/>
          <w:szCs w:val="20"/>
          <w:lang w:bidi="fr-FR"/>
        </w:rPr>
        <w:t>Les droits et la transparence. Approche française et malgache</w:t>
      </w:r>
      <w:r w:rsidRPr="008022F6">
        <w:rPr>
          <w:rFonts w:cs="Helvetica"/>
          <w:sz w:val="20"/>
          <w:szCs w:val="20"/>
          <w:lang w:bidi="fr-FR"/>
        </w:rPr>
        <w:t xml:space="preserve">, Ouvrage collectif Université Lyon 2 - </w:t>
      </w:r>
      <w:r w:rsidRPr="008022F6">
        <w:rPr>
          <w:rFonts w:eastAsia="Times New Roman" w:cs="Tahoma"/>
          <w:sz w:val="20"/>
          <w:szCs w:val="20"/>
        </w:rPr>
        <w:t xml:space="preserve">Université de Tananarive (Madagascar), </w:t>
      </w:r>
      <w:r w:rsidRPr="008022F6">
        <w:rPr>
          <w:rFonts w:eastAsia="Times New Roman" w:cs="Tahoma"/>
          <w:sz w:val="20"/>
          <w:szCs w:val="20"/>
        </w:rPr>
        <w:t xml:space="preserve">à paraître, </w:t>
      </w:r>
      <w:r w:rsidRPr="008022F6">
        <w:rPr>
          <w:rFonts w:eastAsia="Times New Roman" w:cs="Tahoma"/>
          <w:sz w:val="20"/>
          <w:szCs w:val="20"/>
        </w:rPr>
        <w:t>201</w:t>
      </w:r>
      <w:r w:rsidRPr="008022F6">
        <w:rPr>
          <w:rFonts w:eastAsia="Times New Roman" w:cs="Tahoma"/>
          <w:sz w:val="20"/>
          <w:szCs w:val="20"/>
        </w:rPr>
        <w:t>9</w:t>
      </w:r>
    </w:p>
    <w:p w14:paraId="7A37A442" w14:textId="0E59E5CF" w:rsidR="00DD6EAE" w:rsidRPr="008022F6" w:rsidRDefault="00DD6EAE" w:rsidP="008022F6">
      <w:pPr>
        <w:pStyle w:val="Pardeliste"/>
        <w:numPr>
          <w:ilvl w:val="0"/>
          <w:numId w:val="2"/>
        </w:numPr>
        <w:spacing w:after="40" w:line="240" w:lineRule="auto"/>
        <w:jc w:val="both"/>
        <w:rPr>
          <w:sz w:val="20"/>
          <w:szCs w:val="20"/>
        </w:rPr>
      </w:pPr>
      <w:r w:rsidRPr="008022F6">
        <w:rPr>
          <w:rFonts w:cs="Helvetica"/>
          <w:sz w:val="20"/>
          <w:szCs w:val="20"/>
          <w:lang w:bidi="fr-FR"/>
        </w:rPr>
        <w:t xml:space="preserve">« Interface droit d’auteur / droit des dessins et modèles : chapitre sur le droit français », in </w:t>
      </w:r>
      <w:proofErr w:type="spellStart"/>
      <w:r w:rsidRPr="008022F6">
        <w:rPr>
          <w:rFonts w:eastAsia="Times New Roman" w:cs="Arial"/>
          <w:i/>
          <w:sz w:val="20"/>
          <w:szCs w:val="20"/>
          <w:lang w:val="en-US"/>
        </w:rPr>
        <w:t>L’interface</w:t>
      </w:r>
      <w:proofErr w:type="spellEnd"/>
      <w:r w:rsidRPr="008022F6">
        <w:rPr>
          <w:rFonts w:eastAsia="Times New Roman" w:cs="Arial"/>
          <w:i/>
          <w:sz w:val="20"/>
          <w:szCs w:val="20"/>
          <w:lang w:val="en-US"/>
        </w:rPr>
        <w:t xml:space="preserve"> droit </w:t>
      </w:r>
      <w:proofErr w:type="spellStart"/>
      <w:r w:rsidRPr="008022F6">
        <w:rPr>
          <w:rFonts w:eastAsia="Times New Roman" w:cs="Arial"/>
          <w:i/>
          <w:sz w:val="20"/>
          <w:szCs w:val="20"/>
          <w:lang w:val="en-US"/>
        </w:rPr>
        <w:t>d’auteur</w:t>
      </w:r>
      <w:proofErr w:type="spellEnd"/>
      <w:r w:rsidRPr="008022F6">
        <w:rPr>
          <w:rFonts w:eastAsia="Times New Roman" w:cs="Arial"/>
          <w:i/>
          <w:sz w:val="20"/>
          <w:szCs w:val="20"/>
          <w:lang w:val="en-US"/>
        </w:rPr>
        <w:t xml:space="preserve"> / droit des </w:t>
      </w:r>
      <w:proofErr w:type="spellStart"/>
      <w:r w:rsidRPr="008022F6">
        <w:rPr>
          <w:rFonts w:eastAsia="Times New Roman" w:cs="Arial"/>
          <w:i/>
          <w:sz w:val="20"/>
          <w:szCs w:val="20"/>
          <w:lang w:val="en-US"/>
        </w:rPr>
        <w:t>dessins</w:t>
      </w:r>
      <w:proofErr w:type="spellEnd"/>
      <w:r w:rsidRPr="008022F6">
        <w:rPr>
          <w:rFonts w:eastAsia="Times New Roman" w:cs="Arial"/>
          <w:i/>
          <w:sz w:val="20"/>
          <w:szCs w:val="20"/>
          <w:lang w:val="en-US"/>
        </w:rPr>
        <w:t xml:space="preserve"> et </w:t>
      </w:r>
      <w:proofErr w:type="spellStart"/>
      <w:r w:rsidRPr="008022F6">
        <w:rPr>
          <w:rFonts w:eastAsia="Times New Roman" w:cs="Arial"/>
          <w:i/>
          <w:sz w:val="20"/>
          <w:szCs w:val="20"/>
          <w:lang w:val="en-US"/>
        </w:rPr>
        <w:t>modèles</w:t>
      </w:r>
      <w:proofErr w:type="spellEnd"/>
      <w:r w:rsidRPr="008022F6">
        <w:rPr>
          <w:rFonts w:eastAsia="Times New Roman" w:cs="Arial"/>
          <w:i/>
          <w:sz w:val="20"/>
          <w:szCs w:val="20"/>
          <w:lang w:val="en-US"/>
        </w:rPr>
        <w:t xml:space="preserve"> : </w:t>
      </w:r>
      <w:proofErr w:type="spellStart"/>
      <w:r w:rsidRPr="008022F6">
        <w:rPr>
          <w:rFonts w:eastAsia="Times New Roman" w:cs="Arial"/>
          <w:i/>
          <w:sz w:val="20"/>
          <w:szCs w:val="20"/>
          <w:lang w:val="en-US"/>
        </w:rPr>
        <w:t>ouvrage</w:t>
      </w:r>
      <w:proofErr w:type="spellEnd"/>
      <w:r w:rsidRPr="008022F6">
        <w:rPr>
          <w:rFonts w:eastAsia="Times New Roman" w:cs="Arial"/>
          <w:i/>
          <w:sz w:val="20"/>
          <w:szCs w:val="20"/>
          <w:lang w:val="en-US"/>
        </w:rPr>
        <w:t xml:space="preserve"> de droit </w:t>
      </w:r>
      <w:proofErr w:type="spellStart"/>
      <w:r w:rsidRPr="008022F6">
        <w:rPr>
          <w:rFonts w:eastAsia="Times New Roman" w:cs="Arial"/>
          <w:i/>
          <w:sz w:val="20"/>
          <w:szCs w:val="20"/>
          <w:lang w:val="en-US"/>
        </w:rPr>
        <w:t>comparé</w:t>
      </w:r>
      <w:proofErr w:type="spellEnd"/>
      <w:r w:rsidRPr="008022F6">
        <w:rPr>
          <w:rFonts w:eastAsia="Times New Roman" w:cs="Arial"/>
          <w:sz w:val="20"/>
          <w:szCs w:val="20"/>
          <w:lang w:val="en-US"/>
        </w:rPr>
        <w:t>, sous la dir</w:t>
      </w:r>
      <w:r w:rsidR="00A72F23">
        <w:rPr>
          <w:rFonts w:eastAsia="Times New Roman" w:cs="Arial"/>
          <w:sz w:val="20"/>
          <w:szCs w:val="20"/>
          <w:lang w:val="en-US"/>
        </w:rPr>
        <w:t>.</w:t>
      </w:r>
      <w:r w:rsidRPr="008022F6">
        <w:rPr>
          <w:rFonts w:eastAsia="Times New Roman" w:cs="Arial"/>
          <w:sz w:val="20"/>
          <w:szCs w:val="20"/>
          <w:lang w:val="en-US"/>
        </w:rPr>
        <w:t xml:space="preserve"> </w:t>
      </w:r>
      <w:proofErr w:type="gramStart"/>
      <w:r w:rsidR="00A72F23">
        <w:rPr>
          <w:rFonts w:eastAsia="Times New Roman" w:cs="Arial"/>
          <w:sz w:val="20"/>
          <w:szCs w:val="20"/>
          <w:lang w:val="en-US"/>
        </w:rPr>
        <w:t>d’</w:t>
      </w:r>
      <w:r w:rsidRPr="008022F6">
        <w:rPr>
          <w:rFonts w:eastAsia="Times New Roman" w:cs="Arial"/>
          <w:sz w:val="20"/>
          <w:szCs w:val="20"/>
          <w:lang w:val="en-US"/>
        </w:rPr>
        <w:t xml:space="preserve"> E.</w:t>
      </w:r>
      <w:proofErr w:type="gramEnd"/>
      <w:r w:rsidRPr="008022F6">
        <w:rPr>
          <w:rFonts w:eastAsia="Times New Roman" w:cs="Arial"/>
          <w:sz w:val="20"/>
          <w:szCs w:val="20"/>
          <w:lang w:val="en-US"/>
        </w:rPr>
        <w:t xml:space="preserve"> </w:t>
      </w:r>
      <w:proofErr w:type="spellStart"/>
      <w:r w:rsidRPr="008022F6">
        <w:rPr>
          <w:rFonts w:eastAsia="Times New Roman" w:cs="Arial"/>
          <w:sz w:val="20"/>
          <w:szCs w:val="20"/>
          <w:lang w:val="en-US"/>
        </w:rPr>
        <w:t>Derclaye</w:t>
      </w:r>
      <w:proofErr w:type="spellEnd"/>
      <w:r w:rsidRPr="008022F6">
        <w:rPr>
          <w:rFonts w:eastAsia="Times New Roman" w:cs="Arial"/>
          <w:sz w:val="20"/>
          <w:szCs w:val="20"/>
          <w:lang w:val="en-US"/>
        </w:rPr>
        <w:t xml:space="preserve">, Ed. Cambridge University Press, </w:t>
      </w:r>
      <w:proofErr w:type="spellStart"/>
      <w:r w:rsidRPr="008022F6">
        <w:rPr>
          <w:rFonts w:eastAsia="Times New Roman" w:cs="Arial"/>
          <w:sz w:val="20"/>
          <w:szCs w:val="20"/>
          <w:lang w:val="en-US"/>
        </w:rPr>
        <w:t>janvier</w:t>
      </w:r>
      <w:proofErr w:type="spellEnd"/>
      <w:r w:rsidRPr="008022F6">
        <w:rPr>
          <w:rFonts w:eastAsia="Times New Roman" w:cs="Arial"/>
          <w:sz w:val="20"/>
          <w:szCs w:val="20"/>
          <w:lang w:val="en-US"/>
        </w:rPr>
        <w:t xml:space="preserve"> 2018</w:t>
      </w:r>
    </w:p>
    <w:p w14:paraId="380CFA2A" w14:textId="1B2FC1BA" w:rsidR="00DD6EAE" w:rsidRPr="008022F6" w:rsidRDefault="00DD6EAE" w:rsidP="008022F6">
      <w:pPr>
        <w:pStyle w:val="Pardeliste"/>
        <w:numPr>
          <w:ilvl w:val="0"/>
          <w:numId w:val="2"/>
        </w:numPr>
        <w:spacing w:before="240" w:line="240" w:lineRule="auto"/>
        <w:jc w:val="both"/>
        <w:rPr>
          <w:rFonts w:cs="Helvetica"/>
          <w:sz w:val="20"/>
          <w:szCs w:val="20"/>
          <w:lang w:bidi="fr-FR"/>
        </w:rPr>
      </w:pPr>
      <w:r w:rsidRPr="008022F6">
        <w:rPr>
          <w:rFonts w:cs="Helvetica"/>
          <w:sz w:val="20"/>
          <w:szCs w:val="20"/>
          <w:lang w:bidi="fr-FR"/>
        </w:rPr>
        <w:t>« </w:t>
      </w:r>
      <w:r w:rsidRPr="008022F6">
        <w:rPr>
          <w:sz w:val="20"/>
          <w:szCs w:val="20"/>
        </w:rPr>
        <w:t xml:space="preserve">Allongement de la durée de protection des droits voisins : sur un air qui sonne faux », in </w:t>
      </w:r>
      <w:r w:rsidRPr="008022F6">
        <w:rPr>
          <w:i/>
          <w:sz w:val="20"/>
          <w:szCs w:val="20"/>
        </w:rPr>
        <w:t xml:space="preserve">Liber </w:t>
      </w:r>
      <w:proofErr w:type="spellStart"/>
      <w:r w:rsidRPr="008022F6">
        <w:rPr>
          <w:i/>
          <w:sz w:val="20"/>
          <w:szCs w:val="20"/>
        </w:rPr>
        <w:t>Amicorum</w:t>
      </w:r>
      <w:proofErr w:type="spellEnd"/>
      <w:r w:rsidRPr="008022F6">
        <w:rPr>
          <w:sz w:val="20"/>
          <w:szCs w:val="20"/>
        </w:rPr>
        <w:t>, en l’honneur de G</w:t>
      </w:r>
      <w:r w:rsidR="00A72F23">
        <w:rPr>
          <w:sz w:val="20"/>
          <w:szCs w:val="20"/>
        </w:rPr>
        <w:t>.</w:t>
      </w:r>
      <w:r w:rsidRPr="008022F6">
        <w:rPr>
          <w:sz w:val="20"/>
          <w:szCs w:val="20"/>
        </w:rPr>
        <w:t xml:space="preserve"> </w:t>
      </w:r>
      <w:proofErr w:type="spellStart"/>
      <w:r w:rsidRPr="008022F6">
        <w:rPr>
          <w:sz w:val="20"/>
          <w:szCs w:val="20"/>
        </w:rPr>
        <w:t>Vercken</w:t>
      </w:r>
      <w:proofErr w:type="spellEnd"/>
      <w:r w:rsidRPr="008022F6">
        <w:rPr>
          <w:sz w:val="20"/>
          <w:szCs w:val="20"/>
        </w:rPr>
        <w:t xml:space="preserve">, sous la direction de F. </w:t>
      </w:r>
      <w:proofErr w:type="spellStart"/>
      <w:r w:rsidRPr="008022F6">
        <w:rPr>
          <w:sz w:val="20"/>
          <w:szCs w:val="20"/>
        </w:rPr>
        <w:t>Gaulier</w:t>
      </w:r>
      <w:proofErr w:type="spellEnd"/>
      <w:r w:rsidRPr="008022F6">
        <w:rPr>
          <w:sz w:val="20"/>
          <w:szCs w:val="20"/>
        </w:rPr>
        <w:t>, 2017, p. 187.</w:t>
      </w:r>
    </w:p>
    <w:p w14:paraId="50E70416" w14:textId="77777777" w:rsidR="008022F6" w:rsidRPr="008022F6" w:rsidRDefault="008022F6" w:rsidP="008022F6">
      <w:pPr>
        <w:pStyle w:val="Pardeliste"/>
        <w:numPr>
          <w:ilvl w:val="0"/>
          <w:numId w:val="2"/>
        </w:numPr>
        <w:spacing w:after="40" w:line="240" w:lineRule="auto"/>
        <w:jc w:val="both"/>
        <w:rPr>
          <w:sz w:val="20"/>
          <w:szCs w:val="20"/>
        </w:rPr>
      </w:pPr>
      <w:r w:rsidRPr="008022F6">
        <w:rPr>
          <w:i/>
          <w:snapToGrid w:val="0"/>
          <w:color w:val="000000"/>
          <w:sz w:val="20"/>
          <w:szCs w:val="20"/>
        </w:rPr>
        <w:t>Les contrats de représentation d'œuvres musicales : contrats individuels et gestion collective</w:t>
      </w:r>
      <w:r>
        <w:rPr>
          <w:i/>
          <w:snapToGrid w:val="0"/>
          <w:color w:val="000000"/>
          <w:sz w:val="20"/>
          <w:szCs w:val="20"/>
        </w:rPr>
        <w:t xml:space="preserve"> </w:t>
      </w:r>
      <w:r>
        <w:rPr>
          <w:snapToGrid w:val="0"/>
          <w:color w:val="000000"/>
          <w:sz w:val="20"/>
          <w:szCs w:val="20"/>
        </w:rPr>
        <w:t xml:space="preserve">et </w:t>
      </w:r>
      <w:r w:rsidRPr="008022F6">
        <w:rPr>
          <w:rFonts w:cs="Helvetica"/>
          <w:sz w:val="20"/>
          <w:szCs w:val="20"/>
          <w:lang w:bidi="fr-FR"/>
        </w:rPr>
        <w:t>« </w:t>
      </w:r>
      <w:r w:rsidRPr="008022F6">
        <w:rPr>
          <w:snapToGrid w:val="0"/>
          <w:color w:val="000000"/>
          <w:sz w:val="20"/>
          <w:szCs w:val="20"/>
        </w:rPr>
        <w:t xml:space="preserve">Les contrats dans les arts appliqués. </w:t>
      </w:r>
      <w:r w:rsidRPr="008022F6">
        <w:rPr>
          <w:sz w:val="20"/>
          <w:szCs w:val="20"/>
        </w:rPr>
        <w:t>La pratique : entre la rigueur des principes et la bienveillance des juges</w:t>
      </w:r>
      <w:r w:rsidRPr="008022F6">
        <w:rPr>
          <w:snapToGrid w:val="0"/>
          <w:color w:val="000000"/>
          <w:sz w:val="20"/>
          <w:szCs w:val="20"/>
        </w:rPr>
        <w:t> » (en collaboration avec Marie-Christine PIATTI),</w:t>
      </w:r>
      <w:r w:rsidRPr="008022F6">
        <w:rPr>
          <w:i/>
          <w:snapToGrid w:val="0"/>
          <w:color w:val="000000"/>
          <w:sz w:val="20"/>
          <w:szCs w:val="20"/>
        </w:rPr>
        <w:t xml:space="preserve"> </w:t>
      </w:r>
      <w:r w:rsidRPr="008022F6">
        <w:rPr>
          <w:snapToGrid w:val="0"/>
          <w:color w:val="000000"/>
          <w:sz w:val="20"/>
          <w:szCs w:val="20"/>
        </w:rPr>
        <w:t>in Pratique de la propriété littéraire et artistique (Contrats et gestion collective</w:t>
      </w:r>
      <w:proofErr w:type="gramStart"/>
      <w:r w:rsidRPr="008022F6">
        <w:rPr>
          <w:snapToGrid w:val="0"/>
          <w:color w:val="000000"/>
          <w:sz w:val="20"/>
          <w:szCs w:val="20"/>
        </w:rPr>
        <w:t xml:space="preserve">) </w:t>
      </w:r>
      <w:r w:rsidRPr="008022F6">
        <w:rPr>
          <w:i/>
          <w:snapToGrid w:val="0"/>
          <w:color w:val="000000"/>
          <w:sz w:val="20"/>
          <w:szCs w:val="20"/>
        </w:rPr>
        <w:t>,</w:t>
      </w:r>
      <w:proofErr w:type="spellStart"/>
      <w:proofErr w:type="gramEnd"/>
      <w:r w:rsidRPr="008022F6">
        <w:rPr>
          <w:snapToGrid w:val="0"/>
          <w:color w:val="000000"/>
          <w:sz w:val="20"/>
          <w:szCs w:val="20"/>
        </w:rPr>
        <w:t>dir</w:t>
      </w:r>
      <w:proofErr w:type="spellEnd"/>
      <w:r w:rsidRPr="008022F6">
        <w:rPr>
          <w:snapToGrid w:val="0"/>
          <w:color w:val="000000"/>
          <w:sz w:val="20"/>
          <w:szCs w:val="20"/>
        </w:rPr>
        <w:t xml:space="preserve">. P. </w:t>
      </w:r>
      <w:proofErr w:type="spellStart"/>
      <w:r w:rsidRPr="008022F6">
        <w:rPr>
          <w:snapToGrid w:val="0"/>
          <w:color w:val="000000"/>
          <w:sz w:val="20"/>
          <w:szCs w:val="20"/>
        </w:rPr>
        <w:t>Tafforeau</w:t>
      </w:r>
      <w:proofErr w:type="spellEnd"/>
      <w:r w:rsidRPr="008022F6">
        <w:rPr>
          <w:snapToGrid w:val="0"/>
          <w:color w:val="000000"/>
          <w:sz w:val="20"/>
          <w:szCs w:val="20"/>
        </w:rPr>
        <w:t xml:space="preserve">, </w:t>
      </w:r>
      <w:proofErr w:type="spellStart"/>
      <w:r w:rsidRPr="008022F6">
        <w:rPr>
          <w:snapToGrid w:val="0"/>
          <w:color w:val="000000"/>
          <w:sz w:val="20"/>
          <w:szCs w:val="20"/>
        </w:rPr>
        <w:t>LexisNexis</w:t>
      </w:r>
      <w:proofErr w:type="spellEnd"/>
      <w:r w:rsidRPr="008022F6">
        <w:rPr>
          <w:snapToGrid w:val="0"/>
          <w:color w:val="000000"/>
          <w:sz w:val="20"/>
          <w:szCs w:val="20"/>
        </w:rPr>
        <w:t>, 2013, pp.321-339.</w:t>
      </w:r>
    </w:p>
    <w:p w14:paraId="5F81F223" w14:textId="6655343F" w:rsidR="00DD6EAE" w:rsidRPr="008022F6" w:rsidRDefault="008022F6" w:rsidP="008022F6">
      <w:pPr>
        <w:pStyle w:val="Pardeliste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8022F6">
        <w:rPr>
          <w:sz w:val="20"/>
          <w:szCs w:val="20"/>
        </w:rPr>
        <w:t xml:space="preserve"> </w:t>
      </w:r>
      <w:r w:rsidR="00DD6EAE" w:rsidRPr="008022F6">
        <w:rPr>
          <w:sz w:val="20"/>
          <w:szCs w:val="20"/>
        </w:rPr>
        <w:t xml:space="preserve">« L'acculturation en droit du commerce électronique », in </w:t>
      </w:r>
      <w:r w:rsidR="00DD6EAE" w:rsidRPr="008022F6">
        <w:rPr>
          <w:i/>
          <w:sz w:val="20"/>
          <w:szCs w:val="20"/>
        </w:rPr>
        <w:t>L'acculturation en droit des affaires</w:t>
      </w:r>
      <w:r w:rsidR="00DD6EAE" w:rsidRPr="008022F6">
        <w:rPr>
          <w:sz w:val="20"/>
          <w:szCs w:val="20"/>
        </w:rPr>
        <w:t xml:space="preserve">, sous la </w:t>
      </w:r>
      <w:proofErr w:type="spellStart"/>
      <w:r w:rsidR="00DD6EAE" w:rsidRPr="008022F6">
        <w:rPr>
          <w:sz w:val="20"/>
          <w:szCs w:val="20"/>
        </w:rPr>
        <w:t>dir</w:t>
      </w:r>
      <w:proofErr w:type="spellEnd"/>
      <w:r>
        <w:rPr>
          <w:sz w:val="20"/>
          <w:szCs w:val="20"/>
        </w:rPr>
        <w:t>. de J</w:t>
      </w:r>
      <w:r w:rsidR="00DD6EAE" w:rsidRPr="008022F6">
        <w:rPr>
          <w:sz w:val="20"/>
          <w:szCs w:val="20"/>
        </w:rPr>
        <w:t>-L N</w:t>
      </w:r>
      <w:r>
        <w:rPr>
          <w:sz w:val="20"/>
          <w:szCs w:val="20"/>
        </w:rPr>
        <w:t>avarro</w:t>
      </w:r>
      <w:r w:rsidR="00DD6EAE" w:rsidRPr="008022F6">
        <w:rPr>
          <w:sz w:val="20"/>
          <w:szCs w:val="20"/>
        </w:rPr>
        <w:t xml:space="preserve"> et G</w:t>
      </w:r>
      <w:r>
        <w:rPr>
          <w:sz w:val="20"/>
          <w:szCs w:val="20"/>
        </w:rPr>
        <w:t>.</w:t>
      </w:r>
      <w:r w:rsidR="00DD6EAE" w:rsidRPr="008022F6">
        <w:rPr>
          <w:sz w:val="20"/>
          <w:szCs w:val="20"/>
        </w:rPr>
        <w:t xml:space="preserve"> </w:t>
      </w:r>
      <w:proofErr w:type="spellStart"/>
      <w:r w:rsidR="00DD6EAE" w:rsidRPr="008022F6">
        <w:rPr>
          <w:sz w:val="20"/>
          <w:szCs w:val="20"/>
        </w:rPr>
        <w:t>L</w:t>
      </w:r>
      <w:r>
        <w:rPr>
          <w:sz w:val="20"/>
          <w:szCs w:val="20"/>
        </w:rPr>
        <w:t>efbvre</w:t>
      </w:r>
      <w:proofErr w:type="spellEnd"/>
      <w:r w:rsidR="00DD6EAE" w:rsidRPr="008022F6">
        <w:rPr>
          <w:sz w:val="20"/>
          <w:szCs w:val="20"/>
        </w:rPr>
        <w:t>, Ouvrage collectif, France/Canada, Thémis, 2007, p.433-461</w:t>
      </w:r>
    </w:p>
    <w:p w14:paraId="43A57256" w14:textId="1456D4CE" w:rsidR="00DD6EAE" w:rsidRPr="008022F6" w:rsidRDefault="00DD6EAE" w:rsidP="008022F6">
      <w:pPr>
        <w:spacing w:after="40" w:line="240" w:lineRule="auto"/>
        <w:jc w:val="both"/>
        <w:rPr>
          <w:sz w:val="20"/>
          <w:szCs w:val="20"/>
        </w:rPr>
      </w:pPr>
      <w:r w:rsidRPr="008022F6">
        <w:rPr>
          <w:rFonts w:asciiTheme="minorHAnsi" w:hAnsiTheme="minorHAnsi"/>
          <w:b/>
          <w:sz w:val="20"/>
          <w:szCs w:val="20"/>
        </w:rPr>
        <w:t xml:space="preserve">Articles </w:t>
      </w:r>
      <w:r w:rsidR="008022F6">
        <w:rPr>
          <w:rFonts w:asciiTheme="minorHAnsi" w:hAnsiTheme="minorHAnsi"/>
          <w:b/>
          <w:sz w:val="20"/>
          <w:szCs w:val="20"/>
        </w:rPr>
        <w:t>(dont participation à des colloques)</w:t>
      </w:r>
    </w:p>
    <w:p w14:paraId="622EA55F" w14:textId="41BC20F6" w:rsidR="008022F6" w:rsidRPr="008022F6" w:rsidRDefault="008022F6" w:rsidP="008022F6">
      <w:pPr>
        <w:pStyle w:val="Pardeliste"/>
        <w:numPr>
          <w:ilvl w:val="0"/>
          <w:numId w:val="2"/>
        </w:numPr>
        <w:tabs>
          <w:tab w:val="right" w:pos="9809"/>
        </w:tabs>
        <w:spacing w:after="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Propos conclusifs « l’apparence vestimentaire et le droit », à paraître 2019</w:t>
      </w:r>
    </w:p>
    <w:p w14:paraId="3298E860" w14:textId="550F04BA" w:rsidR="00DD6EAE" w:rsidRPr="008022F6" w:rsidRDefault="00DD6EAE" w:rsidP="008022F6">
      <w:pPr>
        <w:pStyle w:val="Pardeliste"/>
        <w:numPr>
          <w:ilvl w:val="0"/>
          <w:numId w:val="2"/>
        </w:numPr>
        <w:tabs>
          <w:tab w:val="right" w:pos="9809"/>
        </w:tabs>
        <w:spacing w:after="40" w:line="240" w:lineRule="auto"/>
        <w:jc w:val="both"/>
        <w:rPr>
          <w:sz w:val="20"/>
          <w:szCs w:val="20"/>
        </w:rPr>
      </w:pPr>
      <w:r w:rsidRPr="008022F6">
        <w:rPr>
          <w:rFonts w:cs="Helvetica"/>
          <w:sz w:val="20"/>
          <w:szCs w:val="20"/>
          <w:lang w:bidi="fr-FR"/>
        </w:rPr>
        <w:t>« </w:t>
      </w:r>
      <w:r w:rsidRPr="008022F6">
        <w:rPr>
          <w:rFonts w:cs="Arial"/>
          <w:color w:val="000000"/>
          <w:sz w:val="20"/>
          <w:szCs w:val="20"/>
        </w:rPr>
        <w:t xml:space="preserve">Le juge judiciaire, la liberté de création et le droit au respect de la vie privée : L’exemple des œuvres de fiction », in </w:t>
      </w:r>
      <w:r w:rsidRPr="008022F6">
        <w:rPr>
          <w:rFonts w:cs="Arial"/>
          <w:i/>
          <w:color w:val="000000"/>
          <w:sz w:val="20"/>
          <w:szCs w:val="20"/>
        </w:rPr>
        <w:t>Vie privée : quelle protection par le juge </w:t>
      </w:r>
      <w:r w:rsidRPr="008022F6">
        <w:rPr>
          <w:rFonts w:cs="Arial"/>
          <w:color w:val="000000"/>
          <w:sz w:val="20"/>
          <w:szCs w:val="20"/>
        </w:rPr>
        <w:t>», 2018</w:t>
      </w:r>
      <w:r w:rsidRPr="008022F6">
        <w:rPr>
          <w:rFonts w:cs="Arial"/>
          <w:color w:val="000000"/>
          <w:sz w:val="20"/>
          <w:szCs w:val="20"/>
        </w:rPr>
        <w:t>, revue en ligne</w:t>
      </w:r>
    </w:p>
    <w:p w14:paraId="16AA6575" w14:textId="76C48F15" w:rsidR="00DD6EAE" w:rsidRPr="008022F6" w:rsidRDefault="00DD6EAE" w:rsidP="008022F6">
      <w:pPr>
        <w:pStyle w:val="Pardeliste"/>
        <w:numPr>
          <w:ilvl w:val="0"/>
          <w:numId w:val="2"/>
        </w:numPr>
        <w:tabs>
          <w:tab w:val="right" w:pos="9809"/>
        </w:tabs>
        <w:spacing w:after="40" w:line="240" w:lineRule="auto"/>
        <w:jc w:val="both"/>
        <w:rPr>
          <w:sz w:val="20"/>
          <w:szCs w:val="20"/>
        </w:rPr>
      </w:pPr>
      <w:r w:rsidRPr="008022F6">
        <w:rPr>
          <w:rFonts w:cs="Helvetica"/>
          <w:sz w:val="20"/>
          <w:szCs w:val="20"/>
          <w:lang w:bidi="fr-FR"/>
        </w:rPr>
        <w:t>« L’harmonisation de la propriété littéraire et artistique dans l’OAPI. Comparaison européenne » in « </w:t>
      </w:r>
      <w:r w:rsidRPr="008022F6">
        <w:rPr>
          <w:rFonts w:cs="Helvetica"/>
          <w:i/>
          <w:sz w:val="20"/>
          <w:szCs w:val="20"/>
          <w:lang w:bidi="fr-FR"/>
        </w:rPr>
        <w:t>Un nouveau regard sur la propriété intellectuelle. Acquis et défis de la propriété intellectuelle en Afrique »</w:t>
      </w:r>
      <w:r w:rsidRPr="008022F6">
        <w:rPr>
          <w:rFonts w:cs="Helvetica"/>
          <w:sz w:val="20"/>
          <w:szCs w:val="20"/>
          <w:lang w:bidi="fr-FR"/>
        </w:rPr>
        <w:t xml:space="preserve">, </w:t>
      </w:r>
      <w:r w:rsidRPr="008022F6">
        <w:rPr>
          <w:snapToGrid w:val="0"/>
          <w:color w:val="000000"/>
          <w:sz w:val="20"/>
          <w:szCs w:val="20"/>
        </w:rPr>
        <w:t xml:space="preserve">sous la </w:t>
      </w:r>
      <w:proofErr w:type="spellStart"/>
      <w:r w:rsidRPr="008022F6">
        <w:rPr>
          <w:snapToGrid w:val="0"/>
          <w:color w:val="000000"/>
          <w:sz w:val="20"/>
          <w:szCs w:val="20"/>
        </w:rPr>
        <w:t>dir</w:t>
      </w:r>
      <w:proofErr w:type="spellEnd"/>
      <w:r w:rsidR="008022F6">
        <w:rPr>
          <w:snapToGrid w:val="0"/>
          <w:color w:val="000000"/>
          <w:sz w:val="20"/>
          <w:szCs w:val="20"/>
        </w:rPr>
        <w:t>.</w:t>
      </w:r>
      <w:r w:rsidRPr="008022F6">
        <w:rPr>
          <w:snapToGrid w:val="0"/>
          <w:color w:val="000000"/>
          <w:sz w:val="20"/>
          <w:szCs w:val="20"/>
        </w:rPr>
        <w:t xml:space="preserve"> d’E</w:t>
      </w:r>
      <w:r w:rsidR="008022F6">
        <w:rPr>
          <w:snapToGrid w:val="0"/>
          <w:color w:val="000000"/>
          <w:sz w:val="20"/>
          <w:szCs w:val="20"/>
        </w:rPr>
        <w:t>.</w:t>
      </w:r>
      <w:r w:rsidRPr="008022F6">
        <w:rPr>
          <w:snapToGrid w:val="0"/>
          <w:color w:val="000000"/>
          <w:sz w:val="20"/>
          <w:szCs w:val="20"/>
        </w:rPr>
        <w:t xml:space="preserve"> </w:t>
      </w:r>
      <w:proofErr w:type="spellStart"/>
      <w:r w:rsidRPr="008022F6">
        <w:rPr>
          <w:snapToGrid w:val="0"/>
          <w:color w:val="000000"/>
          <w:sz w:val="20"/>
          <w:szCs w:val="20"/>
        </w:rPr>
        <w:t>Treppoz</w:t>
      </w:r>
      <w:proofErr w:type="spellEnd"/>
      <w:r w:rsidRPr="008022F6">
        <w:rPr>
          <w:snapToGrid w:val="0"/>
          <w:color w:val="000000"/>
          <w:sz w:val="20"/>
          <w:szCs w:val="20"/>
        </w:rPr>
        <w:t xml:space="preserve">, et </w:t>
      </w:r>
      <w:r w:rsidR="008022F6">
        <w:rPr>
          <w:snapToGrid w:val="0"/>
          <w:color w:val="000000"/>
          <w:sz w:val="20"/>
          <w:szCs w:val="20"/>
        </w:rPr>
        <w:t>AE</w:t>
      </w:r>
      <w:r w:rsidRPr="008022F6">
        <w:rPr>
          <w:snapToGrid w:val="0"/>
          <w:color w:val="000000"/>
          <w:sz w:val="20"/>
          <w:szCs w:val="20"/>
        </w:rPr>
        <w:t xml:space="preserve"> K</w:t>
      </w:r>
      <w:r w:rsidR="00A72F23">
        <w:rPr>
          <w:snapToGrid w:val="0"/>
          <w:color w:val="000000"/>
          <w:sz w:val="20"/>
          <w:szCs w:val="20"/>
        </w:rPr>
        <w:t>ahn</w:t>
      </w:r>
      <w:r w:rsidRPr="008022F6">
        <w:rPr>
          <w:rFonts w:cs="Helvetica"/>
          <w:sz w:val="20"/>
          <w:szCs w:val="20"/>
          <w:lang w:bidi="fr-FR"/>
        </w:rPr>
        <w:t xml:space="preserve">, 10 nov. 2016, </w:t>
      </w:r>
      <w:r w:rsidR="008022F6">
        <w:rPr>
          <w:rFonts w:cs="Helvetica"/>
          <w:sz w:val="20"/>
          <w:szCs w:val="20"/>
          <w:lang w:bidi="fr-FR"/>
        </w:rPr>
        <w:t>RFPI</w:t>
      </w:r>
      <w:r w:rsidRPr="008022F6">
        <w:rPr>
          <w:rFonts w:cs="Helvetica"/>
          <w:sz w:val="20"/>
          <w:szCs w:val="20"/>
          <w:lang w:bidi="fr-FR"/>
        </w:rPr>
        <w:t xml:space="preserve"> février 2018</w:t>
      </w:r>
    </w:p>
    <w:p w14:paraId="043611BF" w14:textId="71037D70" w:rsidR="00DD6EAE" w:rsidRPr="008022F6" w:rsidRDefault="00DD6EAE" w:rsidP="008022F6">
      <w:pPr>
        <w:pStyle w:val="Pardeliste"/>
        <w:numPr>
          <w:ilvl w:val="0"/>
          <w:numId w:val="2"/>
        </w:numPr>
        <w:tabs>
          <w:tab w:val="right" w:pos="9809"/>
        </w:tabs>
        <w:spacing w:after="40" w:line="240" w:lineRule="auto"/>
        <w:jc w:val="both"/>
        <w:rPr>
          <w:sz w:val="20"/>
          <w:szCs w:val="20"/>
        </w:rPr>
      </w:pPr>
      <w:r w:rsidRPr="008022F6">
        <w:rPr>
          <w:sz w:val="20"/>
          <w:szCs w:val="20"/>
        </w:rPr>
        <w:t xml:space="preserve">Nombreux articles et éditos dans la </w:t>
      </w:r>
      <w:r w:rsidRPr="008022F6">
        <w:rPr>
          <w:rFonts w:cs="Helvetica"/>
          <w:sz w:val="20"/>
          <w:szCs w:val="20"/>
          <w:u w:val="single"/>
          <w:lang w:bidi="fr-FR"/>
        </w:rPr>
        <w:t xml:space="preserve">Revue Dalloz </w:t>
      </w:r>
      <w:proofErr w:type="spellStart"/>
      <w:r w:rsidRPr="008022F6">
        <w:rPr>
          <w:rFonts w:cs="Helvetica"/>
          <w:i/>
          <w:sz w:val="20"/>
          <w:szCs w:val="20"/>
          <w:u w:val="single"/>
          <w:lang w:bidi="fr-FR"/>
        </w:rPr>
        <w:t>Juris</w:t>
      </w:r>
      <w:proofErr w:type="spellEnd"/>
      <w:r w:rsidRPr="008022F6">
        <w:rPr>
          <w:rFonts w:cs="Helvetica"/>
          <w:i/>
          <w:sz w:val="20"/>
          <w:szCs w:val="20"/>
          <w:u w:val="single"/>
          <w:lang w:bidi="fr-FR"/>
        </w:rPr>
        <w:t xml:space="preserve"> art etc</w:t>
      </w:r>
      <w:r w:rsidRPr="008022F6">
        <w:rPr>
          <w:rFonts w:cs="Helvetica"/>
          <w:sz w:val="20"/>
          <w:szCs w:val="20"/>
          <w:lang w:bidi="fr-FR"/>
        </w:rPr>
        <w:t>. : « Dialogues des Carmélites : atteinte disproportionnée au droit moral », In « </w:t>
      </w:r>
      <w:r w:rsidRPr="008022F6">
        <w:rPr>
          <w:rFonts w:cs="Helvetica"/>
          <w:i/>
          <w:sz w:val="20"/>
          <w:szCs w:val="20"/>
          <w:lang w:bidi="fr-FR"/>
        </w:rPr>
        <w:t>Droit et création ) Quelle(s) liberté(s) pour les artistes ? </w:t>
      </w:r>
      <w:r w:rsidRPr="008022F6">
        <w:rPr>
          <w:rFonts w:cs="Helvetica"/>
          <w:sz w:val="20"/>
          <w:szCs w:val="20"/>
          <w:lang w:bidi="fr-FR"/>
        </w:rPr>
        <w:t xml:space="preserve">», Revue </w:t>
      </w:r>
      <w:proofErr w:type="spellStart"/>
      <w:r w:rsidRPr="008022F6">
        <w:rPr>
          <w:rFonts w:cs="Helvetica"/>
          <w:sz w:val="20"/>
          <w:szCs w:val="20"/>
          <w:lang w:bidi="fr-FR"/>
        </w:rPr>
        <w:t>Juris</w:t>
      </w:r>
      <w:proofErr w:type="spellEnd"/>
      <w:r w:rsidRPr="008022F6">
        <w:rPr>
          <w:rFonts w:cs="Helvetica"/>
          <w:sz w:val="20"/>
          <w:szCs w:val="20"/>
          <w:lang w:bidi="fr-FR"/>
        </w:rPr>
        <w:t xml:space="preserve"> art etc., Dalloz, n° 39, octobre 2016, p. 32</w:t>
      </w:r>
      <w:r w:rsidRPr="008022F6">
        <w:rPr>
          <w:rFonts w:cs="Helvetica"/>
          <w:sz w:val="20"/>
          <w:szCs w:val="20"/>
          <w:lang w:bidi="fr-FR"/>
        </w:rPr>
        <w:t xml:space="preserve"> ; </w:t>
      </w:r>
      <w:r w:rsidRPr="008022F6">
        <w:rPr>
          <w:rFonts w:asciiTheme="minorHAnsi" w:hAnsiTheme="minorHAnsi" w:cs="Helvetica"/>
          <w:i/>
          <w:sz w:val="20"/>
          <w:szCs w:val="20"/>
          <w:lang w:bidi="fr-FR"/>
        </w:rPr>
        <w:t>Titularité des droits : entre rigueur des principes et bienveillance des juges</w:t>
      </w:r>
      <w:r w:rsidRPr="008022F6">
        <w:rPr>
          <w:rFonts w:asciiTheme="minorHAnsi" w:hAnsiTheme="minorHAnsi" w:cs="Helvetica"/>
          <w:sz w:val="20"/>
          <w:szCs w:val="20"/>
          <w:lang w:bidi="fr-FR"/>
        </w:rPr>
        <w:t xml:space="preserve">, Dossier Design, </w:t>
      </w:r>
      <w:r w:rsidRPr="008022F6">
        <w:rPr>
          <w:rFonts w:asciiTheme="minorHAnsi" w:hAnsiTheme="minorHAnsi" w:cs="Helvetica"/>
          <w:i/>
          <w:sz w:val="20"/>
          <w:szCs w:val="20"/>
          <w:lang w:bidi="fr-FR"/>
        </w:rPr>
        <w:t>JAC</w:t>
      </w:r>
      <w:r w:rsidRPr="008022F6">
        <w:rPr>
          <w:rFonts w:asciiTheme="minorHAnsi" w:hAnsiTheme="minorHAnsi" w:cs="Helvetica"/>
          <w:sz w:val="20"/>
          <w:szCs w:val="20"/>
          <w:lang w:bidi="fr-FR"/>
        </w:rPr>
        <w:t xml:space="preserve"> 2016, n° 31, p. 25 ;</w:t>
      </w:r>
      <w:r w:rsidRPr="008022F6">
        <w:rPr>
          <w:rFonts w:ascii="Times" w:hAnsi="Times" w:cs="Helvetica"/>
          <w:sz w:val="20"/>
          <w:szCs w:val="20"/>
          <w:lang w:bidi="fr-FR"/>
        </w:rPr>
        <w:t xml:space="preserve"> </w:t>
      </w:r>
      <w:r w:rsidRPr="008022F6">
        <w:rPr>
          <w:rFonts w:cs="Helvetica"/>
          <w:i/>
          <w:sz w:val="20"/>
          <w:szCs w:val="20"/>
          <w:lang w:bidi="fr-FR"/>
        </w:rPr>
        <w:t>La Directive relative à la gestion collective : une avancée en demi teinte</w:t>
      </w:r>
      <w:r w:rsidRPr="008022F6">
        <w:rPr>
          <w:rFonts w:cs="Helvetica"/>
          <w:sz w:val="20"/>
          <w:szCs w:val="20"/>
          <w:lang w:bidi="fr-FR"/>
        </w:rPr>
        <w:t xml:space="preserve">, Dossier Gestion collective : l’Europe à l’unisson ?, </w:t>
      </w:r>
      <w:r w:rsidRPr="008022F6">
        <w:rPr>
          <w:rFonts w:cs="Helvetica"/>
          <w:i/>
          <w:sz w:val="20"/>
          <w:szCs w:val="20"/>
          <w:lang w:bidi="fr-FR"/>
        </w:rPr>
        <w:t>JAC</w:t>
      </w:r>
      <w:r w:rsidRPr="008022F6">
        <w:rPr>
          <w:rFonts w:cs="Helvetica"/>
          <w:sz w:val="20"/>
          <w:szCs w:val="20"/>
          <w:lang w:bidi="fr-FR"/>
        </w:rPr>
        <w:t xml:space="preserve"> 2014, n° 17, p. 16 ; </w:t>
      </w:r>
      <w:r w:rsidRPr="008022F6">
        <w:rPr>
          <w:rFonts w:cs="Helvetica"/>
          <w:i/>
          <w:sz w:val="20"/>
          <w:szCs w:val="20"/>
          <w:lang w:bidi="fr-FR"/>
        </w:rPr>
        <w:t xml:space="preserve">Directive 2011/77 : Tout pour la musique, </w:t>
      </w:r>
      <w:r w:rsidRPr="008022F6">
        <w:rPr>
          <w:rFonts w:cs="Helvetica"/>
          <w:sz w:val="20"/>
          <w:szCs w:val="20"/>
          <w:lang w:bidi="fr-FR"/>
        </w:rPr>
        <w:t xml:space="preserve">Dossier Durée des droits voisins – L’Europe donne le LA, Revue Dalloz </w:t>
      </w:r>
      <w:proofErr w:type="spellStart"/>
      <w:r w:rsidRPr="008022F6">
        <w:rPr>
          <w:rFonts w:cs="Helvetica"/>
          <w:sz w:val="20"/>
          <w:szCs w:val="20"/>
          <w:lang w:bidi="fr-FR"/>
        </w:rPr>
        <w:t>Juris</w:t>
      </w:r>
      <w:proofErr w:type="spellEnd"/>
      <w:r w:rsidRPr="008022F6">
        <w:rPr>
          <w:rFonts w:cs="Helvetica"/>
          <w:sz w:val="20"/>
          <w:szCs w:val="20"/>
          <w:lang w:bidi="fr-FR"/>
        </w:rPr>
        <w:t xml:space="preserve"> art etc. (</w:t>
      </w:r>
      <w:r w:rsidRPr="008022F6">
        <w:rPr>
          <w:rFonts w:cs="Helvetica"/>
          <w:i/>
          <w:sz w:val="20"/>
          <w:szCs w:val="20"/>
          <w:lang w:bidi="fr-FR"/>
        </w:rPr>
        <w:t>JAC)</w:t>
      </w:r>
      <w:r w:rsidRPr="008022F6">
        <w:rPr>
          <w:rFonts w:cs="Helvetica"/>
          <w:sz w:val="20"/>
          <w:szCs w:val="20"/>
          <w:lang w:bidi="fr-FR"/>
        </w:rPr>
        <w:t xml:space="preserve"> 2013, n° 3, p. 17</w:t>
      </w:r>
      <w:r w:rsidRPr="008022F6">
        <w:rPr>
          <w:rFonts w:cs="Helvetica"/>
          <w:sz w:val="20"/>
          <w:szCs w:val="20"/>
          <w:lang w:bidi="fr-FR"/>
        </w:rPr>
        <w:t xml:space="preserve"> ; </w:t>
      </w:r>
      <w:r w:rsidRPr="008022F6">
        <w:rPr>
          <w:rFonts w:cs="Helvetica"/>
          <w:i/>
          <w:sz w:val="20"/>
          <w:szCs w:val="20"/>
          <w:lang w:bidi="fr-FR"/>
        </w:rPr>
        <w:t>Le statut hybride de l’artiste-interprète</w:t>
      </w:r>
      <w:r w:rsidRPr="008022F6">
        <w:rPr>
          <w:rFonts w:cs="Helvetica"/>
          <w:sz w:val="20"/>
          <w:szCs w:val="20"/>
          <w:lang w:bidi="fr-FR"/>
        </w:rPr>
        <w:t xml:space="preserve">, Dossier Statut de l’artiste-interprète, </w:t>
      </w:r>
      <w:r w:rsidRPr="008022F6">
        <w:rPr>
          <w:rFonts w:cs="Helvetica"/>
          <w:i/>
          <w:sz w:val="20"/>
          <w:szCs w:val="20"/>
          <w:lang w:bidi="fr-FR"/>
        </w:rPr>
        <w:t>JAC</w:t>
      </w:r>
      <w:r w:rsidRPr="008022F6">
        <w:rPr>
          <w:rFonts w:cs="Helvetica"/>
          <w:sz w:val="20"/>
          <w:szCs w:val="20"/>
          <w:lang w:bidi="fr-FR"/>
        </w:rPr>
        <w:t xml:space="preserve"> 2013, n° 1, p.</w:t>
      </w:r>
      <w:r w:rsidRPr="008022F6">
        <w:rPr>
          <w:sz w:val="20"/>
          <w:szCs w:val="20"/>
        </w:rPr>
        <w:t>18</w:t>
      </w:r>
      <w:r w:rsidR="008022F6">
        <w:rPr>
          <w:sz w:val="20"/>
          <w:szCs w:val="20"/>
        </w:rPr>
        <w:t>…</w:t>
      </w:r>
    </w:p>
    <w:p w14:paraId="7CF8DC97" w14:textId="1A48EB25" w:rsidR="00DD6EAE" w:rsidRPr="008022F6" w:rsidRDefault="00DD6EAE" w:rsidP="008022F6">
      <w:pPr>
        <w:pStyle w:val="Pardeliste"/>
        <w:numPr>
          <w:ilvl w:val="0"/>
          <w:numId w:val="2"/>
        </w:numPr>
        <w:spacing w:before="240" w:line="240" w:lineRule="auto"/>
        <w:jc w:val="both"/>
        <w:rPr>
          <w:b/>
          <w:snapToGrid w:val="0"/>
          <w:color w:val="000000"/>
          <w:sz w:val="20"/>
          <w:szCs w:val="20"/>
        </w:rPr>
      </w:pPr>
      <w:r w:rsidRPr="008022F6">
        <w:rPr>
          <w:rFonts w:cs="Helvetica"/>
          <w:sz w:val="20"/>
          <w:szCs w:val="20"/>
          <w:lang w:bidi="fr-FR"/>
        </w:rPr>
        <w:t>« Entre liberté de création et protection des œuvres : un équilibre incertain dans la pratique » in « </w:t>
      </w:r>
      <w:r w:rsidRPr="008022F6">
        <w:rPr>
          <w:rFonts w:cs="Helvetica"/>
          <w:i/>
          <w:sz w:val="20"/>
          <w:szCs w:val="20"/>
          <w:lang w:bidi="fr-FR"/>
        </w:rPr>
        <w:t>Le plagiat : de la liberté de création à la contrefaçon</w:t>
      </w:r>
      <w:r w:rsidRPr="008022F6">
        <w:rPr>
          <w:rFonts w:cs="Helvetica"/>
          <w:sz w:val="20"/>
          <w:szCs w:val="20"/>
          <w:lang w:bidi="fr-FR"/>
        </w:rPr>
        <w:t xml:space="preserve"> », </w:t>
      </w:r>
      <w:r w:rsidR="008022F6" w:rsidRPr="008022F6">
        <w:rPr>
          <w:sz w:val="20"/>
          <w:szCs w:val="20"/>
        </w:rPr>
        <w:t xml:space="preserve">sous la direction de </w:t>
      </w:r>
      <w:r w:rsidR="008022F6">
        <w:rPr>
          <w:sz w:val="20"/>
          <w:szCs w:val="20"/>
        </w:rPr>
        <w:t xml:space="preserve">AE Kahn et </w:t>
      </w:r>
      <w:r w:rsidR="008022F6">
        <w:rPr>
          <w:sz w:val="20"/>
          <w:szCs w:val="20"/>
        </w:rPr>
        <w:t>M.-C.</w:t>
      </w:r>
      <w:r w:rsidR="008022F6" w:rsidRPr="008022F6">
        <w:rPr>
          <w:sz w:val="20"/>
          <w:szCs w:val="20"/>
        </w:rPr>
        <w:t xml:space="preserve"> P</w:t>
      </w:r>
      <w:r w:rsidR="00A72F23">
        <w:rPr>
          <w:sz w:val="20"/>
          <w:szCs w:val="20"/>
        </w:rPr>
        <w:t>iatti</w:t>
      </w:r>
      <w:r w:rsidR="008022F6" w:rsidRPr="008022F6">
        <w:rPr>
          <w:sz w:val="20"/>
          <w:szCs w:val="20"/>
        </w:rPr>
        <w:t>, Lyon</w:t>
      </w:r>
      <w:r w:rsidR="008022F6" w:rsidRPr="008022F6">
        <w:rPr>
          <w:rFonts w:cs="Helvetica"/>
          <w:sz w:val="20"/>
          <w:szCs w:val="20"/>
          <w:lang w:bidi="fr-FR"/>
        </w:rPr>
        <w:t xml:space="preserve"> </w:t>
      </w:r>
      <w:r w:rsidR="008022F6">
        <w:rPr>
          <w:rFonts w:cs="Helvetica"/>
          <w:sz w:val="20"/>
          <w:szCs w:val="20"/>
          <w:lang w:bidi="fr-FR"/>
        </w:rPr>
        <w:t xml:space="preserve">janv. 2012, </w:t>
      </w:r>
      <w:r w:rsidRPr="008022F6">
        <w:rPr>
          <w:rFonts w:cs="Helvetica"/>
          <w:sz w:val="20"/>
          <w:szCs w:val="20"/>
          <w:lang w:bidi="fr-FR"/>
        </w:rPr>
        <w:t>Rev</w:t>
      </w:r>
      <w:r w:rsidR="00A72F23">
        <w:rPr>
          <w:rFonts w:cs="Helvetica"/>
          <w:sz w:val="20"/>
          <w:szCs w:val="20"/>
          <w:lang w:bidi="fr-FR"/>
        </w:rPr>
        <w:t xml:space="preserve">ue Lamy droit de l’immatériel, </w:t>
      </w:r>
      <w:r w:rsidRPr="008022F6">
        <w:rPr>
          <w:rFonts w:cs="Helvetica"/>
          <w:sz w:val="20"/>
          <w:szCs w:val="20"/>
          <w:lang w:bidi="fr-FR"/>
        </w:rPr>
        <w:t>juin 2012</w:t>
      </w:r>
    </w:p>
    <w:p w14:paraId="55443735" w14:textId="3E3F0871" w:rsidR="00DD6EAE" w:rsidRPr="008022F6" w:rsidRDefault="00DD6EAE" w:rsidP="008022F6">
      <w:pPr>
        <w:pStyle w:val="Pardeliste"/>
        <w:numPr>
          <w:ilvl w:val="0"/>
          <w:numId w:val="2"/>
        </w:numPr>
        <w:spacing w:line="240" w:lineRule="auto"/>
        <w:jc w:val="both"/>
        <w:rPr>
          <w:b/>
          <w:snapToGrid w:val="0"/>
          <w:color w:val="000000"/>
          <w:sz w:val="20"/>
          <w:szCs w:val="20"/>
        </w:rPr>
      </w:pPr>
      <w:r w:rsidRPr="008022F6">
        <w:rPr>
          <w:sz w:val="20"/>
          <w:szCs w:val="20"/>
        </w:rPr>
        <w:t xml:space="preserve">« Les licences obligatoires en matière de brevet », 2005, in </w:t>
      </w:r>
      <w:r w:rsidRPr="008022F6">
        <w:rPr>
          <w:i/>
          <w:sz w:val="20"/>
          <w:szCs w:val="20"/>
        </w:rPr>
        <w:t>Le médicament et la personne – Aspects de droit international</w:t>
      </w:r>
      <w:r w:rsidRPr="008022F6">
        <w:rPr>
          <w:sz w:val="20"/>
          <w:szCs w:val="20"/>
        </w:rPr>
        <w:t>, sous la direction d’I</w:t>
      </w:r>
      <w:r w:rsidR="008022F6">
        <w:rPr>
          <w:sz w:val="20"/>
          <w:szCs w:val="20"/>
        </w:rPr>
        <w:t>.</w:t>
      </w:r>
      <w:r w:rsidRPr="008022F6">
        <w:rPr>
          <w:sz w:val="20"/>
          <w:szCs w:val="20"/>
        </w:rPr>
        <w:t xml:space="preserve"> M</w:t>
      </w:r>
      <w:r w:rsidR="008022F6">
        <w:rPr>
          <w:sz w:val="20"/>
          <w:szCs w:val="20"/>
        </w:rPr>
        <w:t>oine</w:t>
      </w:r>
      <w:r w:rsidRPr="008022F6">
        <w:rPr>
          <w:sz w:val="20"/>
          <w:szCs w:val="20"/>
        </w:rPr>
        <w:t>-D</w:t>
      </w:r>
      <w:r w:rsidR="008022F6">
        <w:rPr>
          <w:sz w:val="20"/>
          <w:szCs w:val="20"/>
        </w:rPr>
        <w:t>upuis</w:t>
      </w:r>
      <w:r w:rsidRPr="008022F6">
        <w:rPr>
          <w:sz w:val="20"/>
          <w:szCs w:val="20"/>
        </w:rPr>
        <w:t xml:space="preserve">, Paris, </w:t>
      </w:r>
      <w:proofErr w:type="spellStart"/>
      <w:r w:rsidRPr="008022F6">
        <w:rPr>
          <w:sz w:val="20"/>
          <w:szCs w:val="20"/>
        </w:rPr>
        <w:t>LexisNexis</w:t>
      </w:r>
      <w:proofErr w:type="spellEnd"/>
      <w:r w:rsidRPr="008022F6">
        <w:rPr>
          <w:sz w:val="20"/>
          <w:szCs w:val="20"/>
        </w:rPr>
        <w:t>, 2007, pp. 219-241</w:t>
      </w:r>
    </w:p>
    <w:p w14:paraId="078DA78B" w14:textId="29037872" w:rsidR="00DD6EAE" w:rsidRPr="008022F6" w:rsidRDefault="00DD6EAE" w:rsidP="008022F6">
      <w:pPr>
        <w:pStyle w:val="Pardeliste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  <w:r w:rsidRPr="008022F6">
        <w:rPr>
          <w:sz w:val="20"/>
          <w:szCs w:val="20"/>
        </w:rPr>
        <w:t xml:space="preserve">"Divorces d'entreprises et propriété intellectuelle", in </w:t>
      </w:r>
      <w:r w:rsidRPr="008022F6">
        <w:rPr>
          <w:i/>
          <w:sz w:val="20"/>
          <w:szCs w:val="20"/>
        </w:rPr>
        <w:t>Les séparations internationales d'entreprises</w:t>
      </w:r>
      <w:r w:rsidRPr="008022F6">
        <w:rPr>
          <w:sz w:val="20"/>
          <w:szCs w:val="20"/>
        </w:rPr>
        <w:t>, sous la direction d’E</w:t>
      </w:r>
      <w:r w:rsidR="008022F6">
        <w:rPr>
          <w:sz w:val="20"/>
          <w:szCs w:val="20"/>
        </w:rPr>
        <w:t xml:space="preserve">. </w:t>
      </w:r>
      <w:r w:rsidRPr="008022F6">
        <w:rPr>
          <w:sz w:val="20"/>
          <w:szCs w:val="20"/>
        </w:rPr>
        <w:t xml:space="preserve">LOQUIN, Paris, </w:t>
      </w:r>
      <w:proofErr w:type="spellStart"/>
      <w:r w:rsidRPr="008022F6">
        <w:rPr>
          <w:sz w:val="20"/>
          <w:szCs w:val="20"/>
        </w:rPr>
        <w:t>Litec</w:t>
      </w:r>
      <w:proofErr w:type="spellEnd"/>
      <w:r w:rsidRPr="008022F6">
        <w:rPr>
          <w:sz w:val="20"/>
          <w:szCs w:val="20"/>
        </w:rPr>
        <w:t>, 2004, pp. 257-289</w:t>
      </w:r>
    </w:p>
    <w:p w14:paraId="33CD8DA0" w14:textId="77777777" w:rsidR="00DD6EAE" w:rsidRPr="008022F6" w:rsidRDefault="00DD6EAE" w:rsidP="008022F6">
      <w:pPr>
        <w:pStyle w:val="Pardeliste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8022F6">
        <w:rPr>
          <w:sz w:val="20"/>
          <w:szCs w:val="20"/>
        </w:rPr>
        <w:t>« Circulation des œuvres en ligne et consommateurs : guerre ou paix ? », Revue Lamy Droit des affaires, décembre 2004, pp. 45-54</w:t>
      </w:r>
    </w:p>
    <w:p w14:paraId="14239310" w14:textId="6DF107C0" w:rsidR="00DD6EAE" w:rsidRPr="008022F6" w:rsidRDefault="00DD6EAE" w:rsidP="008022F6">
      <w:pPr>
        <w:pStyle w:val="Pardeliste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8022F6">
        <w:rPr>
          <w:sz w:val="20"/>
          <w:szCs w:val="20"/>
        </w:rPr>
        <w:t>« Les indications géographiques et les règles du commerce international », Revue Lamy Droit des affaires, février 2004, pp. 71-81</w:t>
      </w:r>
    </w:p>
    <w:p w14:paraId="52C33A53" w14:textId="25991453" w:rsidR="00DD6EAE" w:rsidRPr="008022F6" w:rsidRDefault="00DD6EAE" w:rsidP="008022F6">
      <w:pPr>
        <w:spacing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22F6">
        <w:rPr>
          <w:rFonts w:asciiTheme="minorHAnsi" w:hAnsiTheme="minorHAnsi"/>
          <w:b/>
          <w:sz w:val="20"/>
          <w:szCs w:val="20"/>
        </w:rPr>
        <w:t>Notes de juri</w:t>
      </w:r>
      <w:r w:rsidR="008022F6" w:rsidRPr="008022F6">
        <w:rPr>
          <w:rFonts w:asciiTheme="minorHAnsi" w:hAnsiTheme="minorHAnsi"/>
          <w:b/>
          <w:sz w:val="20"/>
          <w:szCs w:val="20"/>
        </w:rPr>
        <w:t>s</w:t>
      </w:r>
      <w:r w:rsidRPr="008022F6">
        <w:rPr>
          <w:rFonts w:asciiTheme="minorHAnsi" w:hAnsiTheme="minorHAnsi"/>
          <w:b/>
          <w:sz w:val="20"/>
          <w:szCs w:val="20"/>
        </w:rPr>
        <w:t>prudence</w:t>
      </w:r>
    </w:p>
    <w:p w14:paraId="6743B527" w14:textId="0D42D2B7" w:rsidR="00DD6EAE" w:rsidRPr="008022F6" w:rsidRDefault="00DD6EAE" w:rsidP="008022F6">
      <w:pPr>
        <w:pStyle w:val="Pardeliste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8022F6">
        <w:rPr>
          <w:sz w:val="20"/>
          <w:szCs w:val="20"/>
        </w:rPr>
        <w:t xml:space="preserve">Commentaires </w:t>
      </w:r>
      <w:r w:rsidRPr="008022F6">
        <w:rPr>
          <w:sz w:val="20"/>
          <w:szCs w:val="20"/>
        </w:rPr>
        <w:t>mensuel</w:t>
      </w:r>
      <w:r w:rsidRPr="008022F6">
        <w:rPr>
          <w:sz w:val="20"/>
          <w:szCs w:val="20"/>
        </w:rPr>
        <w:t>s dans la revue LEPI (</w:t>
      </w:r>
      <w:proofErr w:type="spellStart"/>
      <w:r w:rsidRPr="008022F6">
        <w:rPr>
          <w:sz w:val="20"/>
          <w:szCs w:val="20"/>
        </w:rPr>
        <w:t>Lextenso</w:t>
      </w:r>
      <w:proofErr w:type="spellEnd"/>
      <w:r w:rsidRPr="008022F6">
        <w:rPr>
          <w:sz w:val="20"/>
          <w:szCs w:val="20"/>
        </w:rPr>
        <w:t xml:space="preserve"> Essentiel du </w:t>
      </w:r>
      <w:r w:rsidRPr="008022F6">
        <w:rPr>
          <w:sz w:val="20"/>
          <w:szCs w:val="20"/>
        </w:rPr>
        <w:t>droit de la propriété intellectuelle).</w:t>
      </w:r>
    </w:p>
    <w:p w14:paraId="5A80A66F" w14:textId="4524FB32" w:rsidR="00DD6EAE" w:rsidRPr="008022F6" w:rsidRDefault="008022F6" w:rsidP="008022F6">
      <w:pPr>
        <w:pStyle w:val="Pardeliste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Revue Dalloz IP/IT : </w:t>
      </w:r>
      <w:r w:rsidR="00DD6EAE" w:rsidRPr="008022F6">
        <w:rPr>
          <w:sz w:val="20"/>
          <w:szCs w:val="20"/>
        </w:rPr>
        <w:t>commentaire CJUE du 27 sept</w:t>
      </w:r>
      <w:r>
        <w:rPr>
          <w:sz w:val="20"/>
          <w:szCs w:val="20"/>
        </w:rPr>
        <w:t>.</w:t>
      </w:r>
      <w:r w:rsidR="00DD6EAE" w:rsidRPr="008022F6">
        <w:rPr>
          <w:sz w:val="20"/>
          <w:szCs w:val="20"/>
        </w:rPr>
        <w:t xml:space="preserve"> 2017 », Revue février 20</w:t>
      </w:r>
      <w:r>
        <w:rPr>
          <w:sz w:val="20"/>
          <w:szCs w:val="20"/>
        </w:rPr>
        <w:t xml:space="preserve">18 ; </w:t>
      </w:r>
      <w:r w:rsidR="00DD6EAE" w:rsidRPr="008022F6">
        <w:rPr>
          <w:sz w:val="20"/>
          <w:szCs w:val="20"/>
        </w:rPr>
        <w:t xml:space="preserve">commentaire </w:t>
      </w:r>
      <w:proofErr w:type="spellStart"/>
      <w:r>
        <w:rPr>
          <w:sz w:val="20"/>
          <w:szCs w:val="20"/>
        </w:rPr>
        <w:t>Cass</w:t>
      </w:r>
      <w:proofErr w:type="spellEnd"/>
      <w:r>
        <w:rPr>
          <w:sz w:val="20"/>
          <w:szCs w:val="20"/>
        </w:rPr>
        <w:t>. com.</w:t>
      </w:r>
      <w:r w:rsidR="00DD6EAE" w:rsidRPr="008022F6">
        <w:rPr>
          <w:sz w:val="20"/>
          <w:szCs w:val="20"/>
        </w:rPr>
        <w:t xml:space="preserve"> 29 mars 2017 », Revue juill. août 2017, p. 400.</w:t>
      </w:r>
    </w:p>
    <w:p w14:paraId="630D7364" w14:textId="785E9D04" w:rsidR="00DD6EAE" w:rsidRPr="008022F6" w:rsidRDefault="00DD6EAE" w:rsidP="008022F6">
      <w:pPr>
        <w:pStyle w:val="Pardeliste"/>
        <w:numPr>
          <w:ilvl w:val="0"/>
          <w:numId w:val="2"/>
        </w:numPr>
        <w:tabs>
          <w:tab w:val="right" w:pos="9809"/>
        </w:tabs>
        <w:spacing w:after="40" w:line="240" w:lineRule="auto"/>
        <w:jc w:val="both"/>
        <w:rPr>
          <w:sz w:val="20"/>
          <w:szCs w:val="20"/>
        </w:rPr>
      </w:pPr>
      <w:r w:rsidRPr="008022F6">
        <w:rPr>
          <w:sz w:val="20"/>
          <w:szCs w:val="20"/>
        </w:rPr>
        <w:t>Plusieurs notes de jurisprudence dans la revue Journal du Droit International</w:t>
      </w:r>
      <w:r w:rsidRPr="008022F6">
        <w:rPr>
          <w:sz w:val="20"/>
          <w:szCs w:val="20"/>
        </w:rPr>
        <w:t xml:space="preserve"> : </w:t>
      </w:r>
      <w:r w:rsidR="008022F6" w:rsidRPr="008022F6">
        <w:rPr>
          <w:sz w:val="20"/>
          <w:szCs w:val="20"/>
        </w:rPr>
        <w:t xml:space="preserve">Note </w:t>
      </w:r>
      <w:r w:rsidR="008022F6" w:rsidRPr="008022F6">
        <w:rPr>
          <w:sz w:val="20"/>
          <w:szCs w:val="20"/>
        </w:rPr>
        <w:t xml:space="preserve">sous </w:t>
      </w:r>
      <w:proofErr w:type="spellStart"/>
      <w:r w:rsidR="008022F6" w:rsidRPr="008022F6">
        <w:rPr>
          <w:sz w:val="20"/>
          <w:szCs w:val="20"/>
        </w:rPr>
        <w:t>Cass</w:t>
      </w:r>
      <w:proofErr w:type="spellEnd"/>
      <w:r w:rsidR="008022F6" w:rsidRPr="008022F6">
        <w:rPr>
          <w:sz w:val="20"/>
          <w:szCs w:val="20"/>
        </w:rPr>
        <w:t>., civ. 1</w:t>
      </w:r>
      <w:r w:rsidR="008022F6" w:rsidRPr="008022F6">
        <w:rPr>
          <w:sz w:val="20"/>
          <w:szCs w:val="20"/>
          <w:vertAlign w:val="superscript"/>
        </w:rPr>
        <w:t>re</w:t>
      </w:r>
      <w:r w:rsidR="008022F6" w:rsidRPr="008022F6">
        <w:rPr>
          <w:sz w:val="20"/>
          <w:szCs w:val="20"/>
        </w:rPr>
        <w:t>,</w:t>
      </w:r>
      <w:r w:rsidR="00A72F23">
        <w:rPr>
          <w:sz w:val="20"/>
          <w:szCs w:val="20"/>
        </w:rPr>
        <w:t xml:space="preserve"> 22 janv.</w:t>
      </w:r>
      <w:r w:rsidRPr="008022F6">
        <w:rPr>
          <w:sz w:val="20"/>
          <w:szCs w:val="20"/>
        </w:rPr>
        <w:t xml:space="preserve"> 2014 », </w:t>
      </w:r>
      <w:r w:rsidR="008022F6" w:rsidRPr="008022F6">
        <w:rPr>
          <w:i/>
          <w:sz w:val="20"/>
          <w:szCs w:val="20"/>
        </w:rPr>
        <w:t>JDI</w:t>
      </w:r>
      <w:r w:rsidR="008022F6" w:rsidRPr="008022F6">
        <w:rPr>
          <w:sz w:val="20"/>
          <w:szCs w:val="20"/>
        </w:rPr>
        <w:t xml:space="preserve">, </w:t>
      </w:r>
      <w:r w:rsidRPr="008022F6">
        <w:rPr>
          <w:sz w:val="20"/>
          <w:szCs w:val="20"/>
        </w:rPr>
        <w:t>oct. 2014</w:t>
      </w:r>
      <w:r w:rsidRPr="008022F6">
        <w:rPr>
          <w:sz w:val="20"/>
          <w:szCs w:val="20"/>
        </w:rPr>
        <w:t> ; N</w:t>
      </w:r>
      <w:r w:rsidR="00D834E0" w:rsidRPr="008022F6">
        <w:rPr>
          <w:sz w:val="20"/>
          <w:szCs w:val="20"/>
        </w:rPr>
        <w:t xml:space="preserve">ote sous </w:t>
      </w:r>
      <w:proofErr w:type="spellStart"/>
      <w:r w:rsidR="00D834E0" w:rsidRPr="008022F6">
        <w:rPr>
          <w:sz w:val="20"/>
          <w:szCs w:val="20"/>
        </w:rPr>
        <w:t>Cass</w:t>
      </w:r>
      <w:proofErr w:type="spellEnd"/>
      <w:r w:rsidR="00D834E0" w:rsidRPr="008022F6">
        <w:rPr>
          <w:sz w:val="20"/>
          <w:szCs w:val="20"/>
        </w:rPr>
        <w:t>., civ. 1</w:t>
      </w:r>
      <w:r w:rsidR="00D834E0" w:rsidRPr="008022F6">
        <w:rPr>
          <w:sz w:val="20"/>
          <w:szCs w:val="20"/>
          <w:vertAlign w:val="superscript"/>
        </w:rPr>
        <w:t>re</w:t>
      </w:r>
      <w:r w:rsidR="00D834E0" w:rsidRPr="008022F6">
        <w:rPr>
          <w:sz w:val="20"/>
          <w:szCs w:val="20"/>
        </w:rPr>
        <w:t>, 17 déc</w:t>
      </w:r>
      <w:r w:rsidR="008022F6">
        <w:rPr>
          <w:sz w:val="20"/>
          <w:szCs w:val="20"/>
        </w:rPr>
        <w:t>.</w:t>
      </w:r>
      <w:r w:rsidR="00D834E0" w:rsidRPr="008022F6">
        <w:rPr>
          <w:sz w:val="20"/>
          <w:szCs w:val="20"/>
        </w:rPr>
        <w:t xml:space="preserve"> 2009 », </w:t>
      </w:r>
      <w:r w:rsidR="00D834E0" w:rsidRPr="008022F6">
        <w:rPr>
          <w:i/>
          <w:sz w:val="20"/>
          <w:szCs w:val="20"/>
        </w:rPr>
        <w:t>JDI</w:t>
      </w:r>
      <w:r w:rsidRPr="008022F6">
        <w:rPr>
          <w:sz w:val="20"/>
          <w:szCs w:val="20"/>
        </w:rPr>
        <w:t>, oct. 2010, pp. 1221-1229</w:t>
      </w:r>
      <w:r w:rsidR="008022F6" w:rsidRPr="008022F6">
        <w:rPr>
          <w:sz w:val="20"/>
          <w:szCs w:val="20"/>
        </w:rPr>
        <w:t xml:space="preserve"> ; Note sous </w:t>
      </w:r>
      <w:proofErr w:type="spellStart"/>
      <w:r w:rsidR="008022F6" w:rsidRPr="008022F6">
        <w:rPr>
          <w:sz w:val="20"/>
          <w:szCs w:val="20"/>
        </w:rPr>
        <w:t>Cass</w:t>
      </w:r>
      <w:proofErr w:type="spellEnd"/>
      <w:r w:rsidR="008022F6" w:rsidRPr="008022F6">
        <w:rPr>
          <w:sz w:val="20"/>
          <w:szCs w:val="20"/>
        </w:rPr>
        <w:t>., civ. 1</w:t>
      </w:r>
      <w:r w:rsidR="008022F6" w:rsidRPr="008022F6">
        <w:rPr>
          <w:sz w:val="20"/>
          <w:szCs w:val="20"/>
          <w:vertAlign w:val="superscript"/>
        </w:rPr>
        <w:t>re</w:t>
      </w:r>
      <w:r w:rsidR="008022F6" w:rsidRPr="008022F6">
        <w:rPr>
          <w:sz w:val="20"/>
          <w:szCs w:val="20"/>
        </w:rPr>
        <w:t xml:space="preserve">, 27 février 2007 », </w:t>
      </w:r>
      <w:r w:rsidR="008022F6" w:rsidRPr="008022F6">
        <w:rPr>
          <w:i/>
          <w:sz w:val="20"/>
          <w:szCs w:val="20"/>
        </w:rPr>
        <w:t>JDI</w:t>
      </w:r>
      <w:r w:rsidR="008022F6" w:rsidRPr="008022F6">
        <w:rPr>
          <w:sz w:val="20"/>
          <w:szCs w:val="20"/>
        </w:rPr>
        <w:t xml:space="preserve">, </w:t>
      </w:r>
      <w:r w:rsidR="008022F6" w:rsidRPr="008022F6">
        <w:rPr>
          <w:sz w:val="20"/>
          <w:szCs w:val="20"/>
        </w:rPr>
        <w:t>o</w:t>
      </w:r>
      <w:r w:rsidR="008022F6" w:rsidRPr="008022F6">
        <w:rPr>
          <w:sz w:val="20"/>
          <w:szCs w:val="20"/>
        </w:rPr>
        <w:t>ct. 2007, pp. 1221-1229</w:t>
      </w:r>
      <w:r w:rsidR="008022F6" w:rsidRPr="008022F6">
        <w:rPr>
          <w:sz w:val="20"/>
          <w:szCs w:val="20"/>
        </w:rPr>
        <w:t>…</w:t>
      </w:r>
    </w:p>
    <w:p w14:paraId="1BC9C157" w14:textId="77777777" w:rsidR="00DD6EAE" w:rsidRPr="008022F6" w:rsidRDefault="00DD6EAE" w:rsidP="008022F6">
      <w:pPr>
        <w:tabs>
          <w:tab w:val="right" w:pos="9809"/>
        </w:tabs>
        <w:spacing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7D9A6743" w14:textId="1610AACF" w:rsidR="00267EDE" w:rsidRPr="008022F6" w:rsidRDefault="00BE77CD" w:rsidP="008022F6">
      <w:pPr>
        <w:tabs>
          <w:tab w:val="right" w:pos="9809"/>
        </w:tabs>
        <w:spacing w:after="40" w:line="240" w:lineRule="auto"/>
        <w:jc w:val="both"/>
        <w:rPr>
          <w:sz w:val="20"/>
          <w:szCs w:val="20"/>
        </w:rPr>
      </w:pPr>
      <w:r w:rsidRPr="008022F6">
        <w:rPr>
          <w:rFonts w:asciiTheme="minorHAnsi" w:hAnsiTheme="minorHAnsi"/>
          <w:b/>
          <w:sz w:val="20"/>
          <w:szCs w:val="20"/>
        </w:rPr>
        <w:t xml:space="preserve">Autres travaux </w:t>
      </w:r>
    </w:p>
    <w:p w14:paraId="1E6CFE6A" w14:textId="18D45705" w:rsidR="008022F6" w:rsidRDefault="008022F6" w:rsidP="008022F6">
      <w:pPr>
        <w:pStyle w:val="Pardeliste"/>
        <w:numPr>
          <w:ilvl w:val="0"/>
          <w:numId w:val="2"/>
        </w:numPr>
        <w:tabs>
          <w:tab w:val="right" w:pos="9809"/>
        </w:tabs>
        <w:spacing w:after="4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Juris</w:t>
      </w:r>
      <w:proofErr w:type="spellEnd"/>
      <w:r>
        <w:rPr>
          <w:sz w:val="20"/>
          <w:szCs w:val="20"/>
        </w:rPr>
        <w:t>-Classeur PLA : notion d’œuvre musicale ; Définition de l’artiste-interprète ; droit des artistes-interprètes ; contrats d’</w:t>
      </w:r>
      <w:proofErr w:type="spellStart"/>
      <w:r>
        <w:rPr>
          <w:sz w:val="20"/>
          <w:szCs w:val="20"/>
        </w:rPr>
        <w:t>éxploitation</w:t>
      </w:r>
      <w:proofErr w:type="spellEnd"/>
      <w:r>
        <w:rPr>
          <w:sz w:val="20"/>
          <w:szCs w:val="20"/>
        </w:rPr>
        <w:t xml:space="preserve"> des droits des artistes-interprètes</w:t>
      </w:r>
    </w:p>
    <w:p w14:paraId="2431F871" w14:textId="21069DFB" w:rsidR="00267EDE" w:rsidRPr="00D25D7D" w:rsidRDefault="00267EDE" w:rsidP="008022F6">
      <w:pPr>
        <w:pStyle w:val="Pardeliste"/>
        <w:numPr>
          <w:ilvl w:val="0"/>
          <w:numId w:val="2"/>
        </w:numPr>
        <w:tabs>
          <w:tab w:val="right" w:pos="9809"/>
        </w:tabs>
        <w:spacing w:after="40" w:line="240" w:lineRule="auto"/>
        <w:jc w:val="both"/>
        <w:rPr>
          <w:sz w:val="20"/>
          <w:szCs w:val="20"/>
        </w:rPr>
      </w:pPr>
      <w:r w:rsidRPr="008022F6">
        <w:rPr>
          <w:sz w:val="20"/>
          <w:szCs w:val="20"/>
        </w:rPr>
        <w:t xml:space="preserve">Plusieurs conférences à l’étranger ayant fait l’objet d’une publication locale ou d’une diffusion en </w:t>
      </w:r>
      <w:proofErr w:type="gramStart"/>
      <w:r w:rsidRPr="008022F6">
        <w:rPr>
          <w:sz w:val="20"/>
          <w:szCs w:val="20"/>
        </w:rPr>
        <w:t>réseau</w:t>
      </w:r>
      <w:proofErr w:type="gramEnd"/>
      <w:r w:rsidRPr="008022F6">
        <w:rPr>
          <w:sz w:val="20"/>
          <w:szCs w:val="20"/>
        </w:rPr>
        <w:t xml:space="preserve"> (Ca</w:t>
      </w:r>
      <w:r w:rsidRPr="00D25D7D">
        <w:rPr>
          <w:sz w:val="20"/>
          <w:szCs w:val="20"/>
        </w:rPr>
        <w:t>nada, Maroc, Cambodge à la demande de l’Unesco…)</w:t>
      </w:r>
    </w:p>
    <w:sectPr w:rsidR="00267EDE" w:rsidRPr="00D25D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C2DA8" w14:textId="77777777" w:rsidR="00DE27C5" w:rsidRDefault="00DE27C5" w:rsidP="00B42CB0">
      <w:pPr>
        <w:spacing w:after="0" w:line="240" w:lineRule="auto"/>
      </w:pPr>
      <w:r>
        <w:separator/>
      </w:r>
    </w:p>
  </w:endnote>
  <w:endnote w:type="continuationSeparator" w:id="0">
    <w:p w14:paraId="7271A9D7" w14:textId="77777777" w:rsidR="00DE27C5" w:rsidRDefault="00DE27C5" w:rsidP="00B4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190545"/>
      <w:docPartObj>
        <w:docPartGallery w:val="Page Numbers (Bottom of Page)"/>
        <w:docPartUnique/>
      </w:docPartObj>
    </w:sdtPr>
    <w:sdtEndPr/>
    <w:sdtContent>
      <w:p w14:paraId="117BADF1" w14:textId="77777777" w:rsidR="00332967" w:rsidRDefault="003329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F23">
          <w:rPr>
            <w:noProof/>
          </w:rPr>
          <w:t>2</w:t>
        </w:r>
        <w:r>
          <w:fldChar w:fldCharType="end"/>
        </w:r>
      </w:p>
    </w:sdtContent>
  </w:sdt>
  <w:p w14:paraId="50CCA2FC" w14:textId="77777777" w:rsidR="00332967" w:rsidRDefault="0033296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749A3" w14:textId="77777777" w:rsidR="00DE27C5" w:rsidRDefault="00DE27C5" w:rsidP="00B42CB0">
      <w:pPr>
        <w:spacing w:after="0" w:line="240" w:lineRule="auto"/>
      </w:pPr>
      <w:r>
        <w:separator/>
      </w:r>
    </w:p>
  </w:footnote>
  <w:footnote w:type="continuationSeparator" w:id="0">
    <w:p w14:paraId="52C3E08D" w14:textId="77777777" w:rsidR="00DE27C5" w:rsidRDefault="00DE27C5" w:rsidP="00B42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50FC3"/>
    <w:multiLevelType w:val="hybridMultilevel"/>
    <w:tmpl w:val="B0E0010E"/>
    <w:lvl w:ilvl="0" w:tplc="B254C6D0">
      <w:start w:val="1999"/>
      <w:numFmt w:val="bullet"/>
      <w:lvlText w:val="-"/>
      <w:lvlJc w:val="left"/>
      <w:pPr>
        <w:ind w:left="92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>
    <w:nsid w:val="26042331"/>
    <w:multiLevelType w:val="hybridMultilevel"/>
    <w:tmpl w:val="3C0CF380"/>
    <w:lvl w:ilvl="0" w:tplc="EE62E47E">
      <w:start w:val="1999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63104"/>
    <w:multiLevelType w:val="hybridMultilevel"/>
    <w:tmpl w:val="3594F2EE"/>
    <w:lvl w:ilvl="0" w:tplc="A8A2D086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C0EB0"/>
    <w:multiLevelType w:val="hybridMultilevel"/>
    <w:tmpl w:val="E4D8F06E"/>
    <w:lvl w:ilvl="0" w:tplc="CC58CBDA">
      <w:numFmt w:val="bullet"/>
      <w:lvlText w:val="-"/>
      <w:lvlJc w:val="left"/>
      <w:pPr>
        <w:ind w:left="720" w:hanging="360"/>
      </w:pPr>
      <w:rPr>
        <w:rFonts w:ascii="Times" w:eastAsia="Times New Roman" w:hAnsi="Time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B73DB"/>
    <w:multiLevelType w:val="hybridMultilevel"/>
    <w:tmpl w:val="E5741998"/>
    <w:lvl w:ilvl="0" w:tplc="8FF0693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BC"/>
    <w:rsid w:val="00015480"/>
    <w:rsid w:val="0001660F"/>
    <w:rsid w:val="00050B23"/>
    <w:rsid w:val="00062B3A"/>
    <w:rsid w:val="000B2AEE"/>
    <w:rsid w:val="000C4AC5"/>
    <w:rsid w:val="000D0DD0"/>
    <w:rsid w:val="000D7662"/>
    <w:rsid w:val="00102294"/>
    <w:rsid w:val="001075FC"/>
    <w:rsid w:val="001100D2"/>
    <w:rsid w:val="001346E4"/>
    <w:rsid w:val="00161476"/>
    <w:rsid w:val="00161C07"/>
    <w:rsid w:val="00173D0F"/>
    <w:rsid w:val="00174FE9"/>
    <w:rsid w:val="001846AA"/>
    <w:rsid w:val="001E0EBB"/>
    <w:rsid w:val="001E45C2"/>
    <w:rsid w:val="001F166A"/>
    <w:rsid w:val="001F39BB"/>
    <w:rsid w:val="001F45B7"/>
    <w:rsid w:val="00215EF2"/>
    <w:rsid w:val="00216042"/>
    <w:rsid w:val="002251D1"/>
    <w:rsid w:val="002275E5"/>
    <w:rsid w:val="00244824"/>
    <w:rsid w:val="00251ECF"/>
    <w:rsid w:val="00267EDE"/>
    <w:rsid w:val="002808A3"/>
    <w:rsid w:val="00281457"/>
    <w:rsid w:val="00292175"/>
    <w:rsid w:val="00296406"/>
    <w:rsid w:val="002B5F12"/>
    <w:rsid w:val="002D2A9C"/>
    <w:rsid w:val="002D6ACA"/>
    <w:rsid w:val="002D7A75"/>
    <w:rsid w:val="0032402C"/>
    <w:rsid w:val="0032440A"/>
    <w:rsid w:val="00332967"/>
    <w:rsid w:val="003342E4"/>
    <w:rsid w:val="00340A8B"/>
    <w:rsid w:val="00354A42"/>
    <w:rsid w:val="00356C63"/>
    <w:rsid w:val="0035792F"/>
    <w:rsid w:val="0037510C"/>
    <w:rsid w:val="00385305"/>
    <w:rsid w:val="00387DB3"/>
    <w:rsid w:val="003A19B7"/>
    <w:rsid w:val="003A431E"/>
    <w:rsid w:val="003A65C5"/>
    <w:rsid w:val="003A6F6C"/>
    <w:rsid w:val="003A7A3B"/>
    <w:rsid w:val="003C5962"/>
    <w:rsid w:val="003D05DF"/>
    <w:rsid w:val="003F423E"/>
    <w:rsid w:val="003F6EF7"/>
    <w:rsid w:val="004045D3"/>
    <w:rsid w:val="00412775"/>
    <w:rsid w:val="00462F1B"/>
    <w:rsid w:val="00463012"/>
    <w:rsid w:val="00475588"/>
    <w:rsid w:val="00477862"/>
    <w:rsid w:val="00490502"/>
    <w:rsid w:val="004D2F44"/>
    <w:rsid w:val="004F32E2"/>
    <w:rsid w:val="00533667"/>
    <w:rsid w:val="00537E08"/>
    <w:rsid w:val="00565E32"/>
    <w:rsid w:val="00580CC2"/>
    <w:rsid w:val="00581093"/>
    <w:rsid w:val="005862BC"/>
    <w:rsid w:val="005A39B6"/>
    <w:rsid w:val="005B189B"/>
    <w:rsid w:val="005C2AAA"/>
    <w:rsid w:val="005E2309"/>
    <w:rsid w:val="005E40A6"/>
    <w:rsid w:val="005E5FCD"/>
    <w:rsid w:val="005F0B8E"/>
    <w:rsid w:val="00674FA8"/>
    <w:rsid w:val="00690E9E"/>
    <w:rsid w:val="00694C33"/>
    <w:rsid w:val="007354CC"/>
    <w:rsid w:val="00746DE5"/>
    <w:rsid w:val="00760368"/>
    <w:rsid w:val="0076532A"/>
    <w:rsid w:val="00774C5F"/>
    <w:rsid w:val="00781094"/>
    <w:rsid w:val="00793D87"/>
    <w:rsid w:val="007A1D91"/>
    <w:rsid w:val="007A3871"/>
    <w:rsid w:val="007B5810"/>
    <w:rsid w:val="007E1D7C"/>
    <w:rsid w:val="008022F6"/>
    <w:rsid w:val="00813014"/>
    <w:rsid w:val="00825CE0"/>
    <w:rsid w:val="00843C17"/>
    <w:rsid w:val="00850100"/>
    <w:rsid w:val="00861B42"/>
    <w:rsid w:val="008672EC"/>
    <w:rsid w:val="00875301"/>
    <w:rsid w:val="00880A14"/>
    <w:rsid w:val="00895ED8"/>
    <w:rsid w:val="008C74DD"/>
    <w:rsid w:val="008F1E92"/>
    <w:rsid w:val="0090459D"/>
    <w:rsid w:val="00913D64"/>
    <w:rsid w:val="00930C4A"/>
    <w:rsid w:val="009465FF"/>
    <w:rsid w:val="00951346"/>
    <w:rsid w:val="00953C60"/>
    <w:rsid w:val="00954D41"/>
    <w:rsid w:val="00966CB9"/>
    <w:rsid w:val="00984B21"/>
    <w:rsid w:val="00987EAB"/>
    <w:rsid w:val="0099110A"/>
    <w:rsid w:val="009B34C2"/>
    <w:rsid w:val="009C26EF"/>
    <w:rsid w:val="009C6EDD"/>
    <w:rsid w:val="009C7239"/>
    <w:rsid w:val="009D342E"/>
    <w:rsid w:val="009D4405"/>
    <w:rsid w:val="009E0C69"/>
    <w:rsid w:val="009E1A09"/>
    <w:rsid w:val="009E5028"/>
    <w:rsid w:val="00A03376"/>
    <w:rsid w:val="00A30348"/>
    <w:rsid w:val="00A51187"/>
    <w:rsid w:val="00A72F23"/>
    <w:rsid w:val="00A75FF1"/>
    <w:rsid w:val="00A76A3F"/>
    <w:rsid w:val="00A865E2"/>
    <w:rsid w:val="00A968BE"/>
    <w:rsid w:val="00AD23F8"/>
    <w:rsid w:val="00AE33F7"/>
    <w:rsid w:val="00AF7561"/>
    <w:rsid w:val="00B15003"/>
    <w:rsid w:val="00B20655"/>
    <w:rsid w:val="00B2612A"/>
    <w:rsid w:val="00B27038"/>
    <w:rsid w:val="00B42CB0"/>
    <w:rsid w:val="00B4455C"/>
    <w:rsid w:val="00B56971"/>
    <w:rsid w:val="00B62BC6"/>
    <w:rsid w:val="00BD75A7"/>
    <w:rsid w:val="00BE77CD"/>
    <w:rsid w:val="00BF51D4"/>
    <w:rsid w:val="00C028CD"/>
    <w:rsid w:val="00C10F47"/>
    <w:rsid w:val="00C13E75"/>
    <w:rsid w:val="00C155FB"/>
    <w:rsid w:val="00C56667"/>
    <w:rsid w:val="00C734F2"/>
    <w:rsid w:val="00C77AFF"/>
    <w:rsid w:val="00CA25F4"/>
    <w:rsid w:val="00CC2220"/>
    <w:rsid w:val="00CD5D1E"/>
    <w:rsid w:val="00CE5187"/>
    <w:rsid w:val="00D04147"/>
    <w:rsid w:val="00D0661E"/>
    <w:rsid w:val="00D23E4A"/>
    <w:rsid w:val="00D25D7D"/>
    <w:rsid w:val="00D26D6D"/>
    <w:rsid w:val="00D46373"/>
    <w:rsid w:val="00D50734"/>
    <w:rsid w:val="00D51A85"/>
    <w:rsid w:val="00D53927"/>
    <w:rsid w:val="00D6470E"/>
    <w:rsid w:val="00D655B0"/>
    <w:rsid w:val="00D666F5"/>
    <w:rsid w:val="00D834E0"/>
    <w:rsid w:val="00DA35FE"/>
    <w:rsid w:val="00DD58F1"/>
    <w:rsid w:val="00DD6EAE"/>
    <w:rsid w:val="00DE27C5"/>
    <w:rsid w:val="00DE487D"/>
    <w:rsid w:val="00DF1279"/>
    <w:rsid w:val="00E176C3"/>
    <w:rsid w:val="00E20CA2"/>
    <w:rsid w:val="00E21D51"/>
    <w:rsid w:val="00E24B71"/>
    <w:rsid w:val="00E71CAA"/>
    <w:rsid w:val="00E748D8"/>
    <w:rsid w:val="00E93CF8"/>
    <w:rsid w:val="00EB538B"/>
    <w:rsid w:val="00EC7087"/>
    <w:rsid w:val="00F0108E"/>
    <w:rsid w:val="00F03BB6"/>
    <w:rsid w:val="00F20B29"/>
    <w:rsid w:val="00F322C1"/>
    <w:rsid w:val="00F639BE"/>
    <w:rsid w:val="00F723B5"/>
    <w:rsid w:val="00F758A9"/>
    <w:rsid w:val="00F82450"/>
    <w:rsid w:val="00F866BA"/>
    <w:rsid w:val="00F959B7"/>
    <w:rsid w:val="00F9785B"/>
    <w:rsid w:val="00F97A29"/>
    <w:rsid w:val="00FB7B88"/>
    <w:rsid w:val="00FD7613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4DA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2B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862BC"/>
    <w:rPr>
      <w:color w:val="0000FF"/>
      <w:u w:val="single"/>
    </w:rPr>
  </w:style>
  <w:style w:type="paragraph" w:styleId="Pardeliste">
    <w:name w:val="List Paragraph"/>
    <w:basedOn w:val="Normal"/>
    <w:uiPriority w:val="34"/>
    <w:qFormat/>
    <w:rsid w:val="005862BC"/>
    <w:pPr>
      <w:ind w:left="720"/>
      <w:contextualSpacing/>
    </w:pPr>
  </w:style>
  <w:style w:type="character" w:customStyle="1" w:styleId="object">
    <w:name w:val="object"/>
    <w:rsid w:val="005862BC"/>
  </w:style>
  <w:style w:type="paragraph" w:styleId="En-tte">
    <w:name w:val="header"/>
    <w:basedOn w:val="Normal"/>
    <w:link w:val="En-tteCar"/>
    <w:uiPriority w:val="99"/>
    <w:unhideWhenUsed/>
    <w:rsid w:val="00B42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CB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42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CB0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CB0"/>
    <w:rPr>
      <w:rFonts w:ascii="Tahoma" w:eastAsia="Calibri" w:hAnsi="Tahoma" w:cs="Tahoma"/>
      <w:sz w:val="16"/>
      <w:szCs w:val="16"/>
    </w:rPr>
  </w:style>
  <w:style w:type="paragraph" w:customStyle="1" w:styleId="En-tt">
    <w:name w:val="En-têt"/>
    <w:basedOn w:val="Normal"/>
    <w:rsid w:val="00690E9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 w:bidi="fr-FR"/>
    </w:rPr>
  </w:style>
  <w:style w:type="paragraph" w:customStyle="1" w:styleId="Corpsde">
    <w:name w:val="Corps de"/>
    <w:basedOn w:val="Normal"/>
    <w:rsid w:val="00267E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E2EC-FECA-FC4F-93C5-0A666A43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1125</Words>
  <Characters>6193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Farge</dc:creator>
  <cp:lastModifiedBy>Utilisateur de Microsoft Office</cp:lastModifiedBy>
  <cp:revision>2</cp:revision>
  <cp:lastPrinted>2015-01-19T10:13:00Z</cp:lastPrinted>
  <dcterms:created xsi:type="dcterms:W3CDTF">2019-02-07T16:32:00Z</dcterms:created>
  <dcterms:modified xsi:type="dcterms:W3CDTF">2019-02-07T16:32:00Z</dcterms:modified>
</cp:coreProperties>
</file>