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47" w:rsidRPr="00194047" w:rsidRDefault="00194047" w:rsidP="00194047">
      <w:pPr>
        <w:spacing w:after="60"/>
        <w:jc w:val="center"/>
        <w:rPr>
          <w:rFonts w:ascii="Garamond" w:hAnsi="Garamond"/>
          <w:b/>
        </w:rPr>
      </w:pPr>
      <w:r w:rsidRPr="00194047">
        <w:rPr>
          <w:rFonts w:ascii="Garamond" w:hAnsi="Garamond"/>
          <w:b/>
        </w:rPr>
        <w:t>Plan Cours Assurance automobile</w:t>
      </w:r>
    </w:p>
    <w:p w:rsidR="00194047" w:rsidRPr="00194047" w:rsidRDefault="00194047" w:rsidP="00194047">
      <w:pPr>
        <w:spacing w:after="60"/>
        <w:jc w:val="center"/>
        <w:rPr>
          <w:rFonts w:ascii="Garamond" w:hAnsi="Garamond"/>
        </w:rPr>
      </w:pPr>
    </w:p>
    <w:p w:rsidR="00194047" w:rsidRPr="00EF164B" w:rsidRDefault="00194047" w:rsidP="00194047">
      <w:pPr>
        <w:spacing w:after="60"/>
        <w:jc w:val="both"/>
        <w:rPr>
          <w:rFonts w:ascii="Garamond" w:hAnsi="Garamond"/>
          <w:b/>
          <w:i/>
          <w:u w:val="single"/>
        </w:rPr>
      </w:pPr>
      <w:r w:rsidRPr="00EF164B">
        <w:rPr>
          <w:rFonts w:ascii="Garamond" w:hAnsi="Garamond"/>
          <w:b/>
          <w:i/>
          <w:u w:val="single"/>
        </w:rPr>
        <w:t>Introduction : Notion d’assurance automobile obligatoire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i/>
        </w:rPr>
      </w:pPr>
    </w:p>
    <w:p w:rsidR="00194047" w:rsidRPr="00EF164B" w:rsidRDefault="00194047" w:rsidP="00194047">
      <w:pPr>
        <w:spacing w:after="60"/>
        <w:jc w:val="both"/>
        <w:rPr>
          <w:rFonts w:ascii="Garamond" w:hAnsi="Garamond"/>
          <w:i/>
        </w:rPr>
      </w:pPr>
      <w:r w:rsidRPr="00EF164B">
        <w:rPr>
          <w:rFonts w:ascii="Garamond" w:hAnsi="Garamond"/>
          <w:i/>
        </w:rPr>
        <w:sym w:font="Symbol" w:char="F0DE"/>
      </w:r>
      <w:r w:rsidRPr="00EF164B">
        <w:rPr>
          <w:rFonts w:ascii="Garamond" w:hAnsi="Garamond"/>
          <w:i/>
        </w:rPr>
        <w:t xml:space="preserve"> L’assurance automobile o</w:t>
      </w:r>
      <w:bookmarkStart w:id="0" w:name="_GoBack"/>
      <w:bookmarkEnd w:id="0"/>
      <w:r w:rsidRPr="00EF164B">
        <w:rPr>
          <w:rFonts w:ascii="Garamond" w:hAnsi="Garamond"/>
          <w:i/>
        </w:rPr>
        <w:t>bligatoire et la Loi Badinter du 5 juillet 1985 : Lois complémentaires pour garantir une indemnisation des dommages causés aux tiers.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i/>
        </w:rPr>
      </w:pPr>
    </w:p>
    <w:p w:rsidR="00194047" w:rsidRPr="00EF164B" w:rsidRDefault="00194047" w:rsidP="00194047">
      <w:pPr>
        <w:spacing w:after="60"/>
        <w:jc w:val="both"/>
        <w:rPr>
          <w:rFonts w:ascii="Garamond" w:hAnsi="Garamond"/>
          <w:i/>
        </w:rPr>
      </w:pPr>
      <w:r w:rsidRPr="00EF164B">
        <w:rPr>
          <w:rFonts w:ascii="Garamond" w:hAnsi="Garamond"/>
          <w:i/>
        </w:rPr>
        <w:sym w:font="Symbol" w:char="F0DE"/>
      </w:r>
      <w:r w:rsidRPr="00EF164B">
        <w:rPr>
          <w:rFonts w:ascii="Garamond" w:hAnsi="Garamond"/>
          <w:i/>
        </w:rPr>
        <w:t xml:space="preserve"> L’assurance facultative </w:t>
      </w:r>
    </w:p>
    <w:p w:rsidR="00194047" w:rsidRPr="00EF164B" w:rsidRDefault="00194047" w:rsidP="00194047">
      <w:pPr>
        <w:pStyle w:val="Paragraphedeliste"/>
        <w:numPr>
          <w:ilvl w:val="0"/>
          <w:numId w:val="2"/>
        </w:numPr>
        <w:spacing w:after="60"/>
        <w:jc w:val="both"/>
        <w:rPr>
          <w:rFonts w:ascii="Garamond" w:hAnsi="Garamond"/>
        </w:rPr>
      </w:pPr>
      <w:r w:rsidRPr="00EF164B">
        <w:rPr>
          <w:rFonts w:ascii="Garamond" w:hAnsi="Garamond"/>
        </w:rPr>
        <w:t>Les garanties RC complémentaires</w:t>
      </w:r>
    </w:p>
    <w:p w:rsidR="00194047" w:rsidRPr="00EF164B" w:rsidRDefault="00194047" w:rsidP="00194047">
      <w:pPr>
        <w:pStyle w:val="Paragraphedeliste"/>
        <w:numPr>
          <w:ilvl w:val="0"/>
          <w:numId w:val="2"/>
        </w:numPr>
        <w:spacing w:after="60"/>
        <w:jc w:val="both"/>
        <w:rPr>
          <w:rFonts w:ascii="Garamond" w:hAnsi="Garamond"/>
        </w:rPr>
      </w:pPr>
      <w:r w:rsidRPr="00EF164B">
        <w:rPr>
          <w:rFonts w:ascii="Garamond" w:hAnsi="Garamond"/>
        </w:rPr>
        <w:t>Les garanties dommages corporels du conducteur</w:t>
      </w:r>
    </w:p>
    <w:p w:rsidR="00194047" w:rsidRPr="00EF164B" w:rsidRDefault="00194047" w:rsidP="00194047">
      <w:pPr>
        <w:pStyle w:val="Paragraphedeliste"/>
        <w:numPr>
          <w:ilvl w:val="0"/>
          <w:numId w:val="2"/>
        </w:numPr>
        <w:spacing w:after="60"/>
        <w:jc w:val="both"/>
        <w:rPr>
          <w:rFonts w:ascii="Garamond" w:hAnsi="Garamond"/>
        </w:rPr>
      </w:pPr>
      <w:r w:rsidRPr="00EF164B">
        <w:rPr>
          <w:rFonts w:ascii="Garamond" w:hAnsi="Garamond"/>
        </w:rPr>
        <w:t>Les garanties des dommages subis par le véhicule</w:t>
      </w:r>
    </w:p>
    <w:p w:rsidR="00194047" w:rsidRPr="00EF164B" w:rsidRDefault="00194047" w:rsidP="00194047">
      <w:pPr>
        <w:pStyle w:val="Paragraphedeliste"/>
        <w:numPr>
          <w:ilvl w:val="0"/>
          <w:numId w:val="2"/>
        </w:numPr>
        <w:spacing w:after="60"/>
        <w:jc w:val="both"/>
        <w:rPr>
          <w:rFonts w:ascii="Garamond" w:hAnsi="Garamond"/>
        </w:rPr>
      </w:pPr>
      <w:r w:rsidRPr="00EF164B">
        <w:rPr>
          <w:rFonts w:ascii="Garamond" w:hAnsi="Garamond"/>
        </w:rPr>
        <w:t>Autres garanties possibles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i/>
        </w:rPr>
      </w:pPr>
    </w:p>
    <w:p w:rsidR="00194047" w:rsidRPr="00EF164B" w:rsidRDefault="00194047" w:rsidP="00194047">
      <w:pPr>
        <w:spacing w:after="60"/>
        <w:jc w:val="both"/>
        <w:rPr>
          <w:rFonts w:ascii="Garamond" w:hAnsi="Garamond"/>
          <w:i/>
        </w:rPr>
      </w:pPr>
      <w:r w:rsidRPr="00EF164B">
        <w:rPr>
          <w:rFonts w:ascii="Garamond" w:hAnsi="Garamond"/>
          <w:i/>
        </w:rPr>
        <w:sym w:font="Symbol" w:char="F0DE"/>
      </w:r>
      <w:r w:rsidRPr="00EF164B">
        <w:rPr>
          <w:rFonts w:ascii="Garamond" w:hAnsi="Garamond"/>
          <w:i/>
        </w:rPr>
        <w:t xml:space="preserve"> Intervention du Fonds de garantie (FGAOD)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b/>
          <w:bCs/>
        </w:rPr>
      </w:pPr>
    </w:p>
    <w:p w:rsidR="00194047" w:rsidRPr="00EF164B" w:rsidRDefault="00194047" w:rsidP="00194047">
      <w:pPr>
        <w:spacing w:after="60"/>
        <w:rPr>
          <w:rFonts w:ascii="Garamond" w:hAnsi="Garamond"/>
          <w:bCs/>
          <w:u w:val="single"/>
        </w:rPr>
      </w:pPr>
      <w:r w:rsidRPr="00EF164B">
        <w:rPr>
          <w:rFonts w:ascii="Garamond" w:hAnsi="Garamond"/>
          <w:bCs/>
          <w:u w:val="single"/>
        </w:rPr>
        <w:t>I) Le droit à indemnisation : condition de la mise en œuvre de l’assurance automobile obligatoire</w:t>
      </w:r>
    </w:p>
    <w:p w:rsidR="00194047" w:rsidRPr="00EF164B" w:rsidRDefault="00194047" w:rsidP="00194047">
      <w:pPr>
        <w:spacing w:after="60"/>
        <w:ind w:left="357" w:firstLine="708"/>
        <w:jc w:val="both"/>
        <w:rPr>
          <w:rFonts w:ascii="Garamond" w:hAnsi="Garamond"/>
          <w:b/>
          <w:bCs/>
        </w:rPr>
      </w:pPr>
      <w:r w:rsidRPr="00EF164B">
        <w:rPr>
          <w:rFonts w:ascii="Garamond" w:hAnsi="Garamond"/>
          <w:b/>
          <w:bCs/>
        </w:rPr>
        <w:t xml:space="preserve">A) Ouverture du droit à indemnisation </w:t>
      </w:r>
    </w:p>
    <w:p w:rsidR="00194047" w:rsidRPr="00EF164B" w:rsidRDefault="00194047" w:rsidP="00194047">
      <w:pPr>
        <w:spacing w:after="60"/>
        <w:ind w:left="708" w:firstLine="708"/>
        <w:jc w:val="both"/>
        <w:rPr>
          <w:rFonts w:ascii="Garamond" w:hAnsi="Garamond"/>
          <w:bCs/>
        </w:rPr>
      </w:pPr>
      <w:r w:rsidRPr="00EF164B">
        <w:rPr>
          <w:rFonts w:ascii="Garamond" w:hAnsi="Garamond"/>
          <w:bCs/>
        </w:rPr>
        <w:t>1) Accident de la circulation</w:t>
      </w:r>
    </w:p>
    <w:p w:rsidR="00194047" w:rsidRPr="00EF164B" w:rsidRDefault="00194047" w:rsidP="00194047">
      <w:pPr>
        <w:spacing w:after="60"/>
        <w:ind w:left="1416" w:firstLine="708"/>
        <w:jc w:val="both"/>
        <w:rPr>
          <w:rFonts w:ascii="Garamond" w:hAnsi="Garamond"/>
          <w:bCs/>
          <w:i/>
          <w:color w:val="000090"/>
        </w:rPr>
      </w:pPr>
      <w:r w:rsidRPr="00EF164B">
        <w:rPr>
          <w:rFonts w:ascii="Garamond" w:hAnsi="Garamond"/>
          <w:bCs/>
          <w:i/>
          <w:color w:val="000090"/>
        </w:rPr>
        <w:t>* Evolution sur le cas de la voie ferrée</w:t>
      </w:r>
    </w:p>
    <w:p w:rsidR="00194047" w:rsidRPr="00EF164B" w:rsidRDefault="00194047" w:rsidP="00194047">
      <w:pPr>
        <w:spacing w:after="60"/>
        <w:ind w:left="1062" w:firstLine="354"/>
        <w:jc w:val="both"/>
        <w:rPr>
          <w:rFonts w:ascii="Garamond" w:hAnsi="Garamond"/>
          <w:bCs/>
        </w:rPr>
      </w:pPr>
      <w:r w:rsidRPr="00EF164B">
        <w:rPr>
          <w:rFonts w:ascii="Garamond" w:hAnsi="Garamond"/>
          <w:bCs/>
        </w:rPr>
        <w:t>2) Véhicule terrestre à moteur</w:t>
      </w:r>
    </w:p>
    <w:p w:rsidR="00194047" w:rsidRPr="00EF164B" w:rsidRDefault="00194047" w:rsidP="00194047">
      <w:pPr>
        <w:spacing w:after="60"/>
        <w:ind w:left="1062" w:firstLine="354"/>
        <w:jc w:val="both"/>
        <w:rPr>
          <w:rFonts w:ascii="Garamond" w:hAnsi="Garamond"/>
          <w:bCs/>
          <w:color w:val="000090"/>
        </w:rPr>
      </w:pPr>
      <w:r w:rsidRPr="00EF164B">
        <w:rPr>
          <w:rFonts w:ascii="Garamond" w:hAnsi="Garamond"/>
          <w:bCs/>
        </w:rPr>
        <w:tab/>
      </w:r>
      <w:r w:rsidRPr="00EF164B">
        <w:rPr>
          <w:rFonts w:ascii="Garamond" w:hAnsi="Garamond"/>
          <w:bCs/>
          <w:color w:val="000090"/>
        </w:rPr>
        <w:t>* Prospectif : le cas de la voiture à conduite déléguée</w:t>
      </w:r>
    </w:p>
    <w:p w:rsidR="00194047" w:rsidRPr="00EF164B" w:rsidRDefault="00194047" w:rsidP="00194047">
      <w:pPr>
        <w:spacing w:after="60"/>
        <w:ind w:left="1062" w:firstLine="354"/>
        <w:jc w:val="both"/>
        <w:rPr>
          <w:rFonts w:ascii="Garamond" w:hAnsi="Garamond"/>
          <w:b/>
          <w:bCs/>
        </w:rPr>
      </w:pPr>
      <w:r w:rsidRPr="00EF164B">
        <w:rPr>
          <w:rFonts w:ascii="Garamond" w:hAnsi="Garamond"/>
          <w:bCs/>
        </w:rPr>
        <w:t>3) Implication du véhicule terrestre à moteur</w:t>
      </w:r>
    </w:p>
    <w:p w:rsidR="00194047" w:rsidRPr="00EF164B" w:rsidRDefault="00194047" w:rsidP="00194047">
      <w:pPr>
        <w:spacing w:after="60"/>
        <w:ind w:left="357" w:firstLine="708"/>
        <w:jc w:val="both"/>
        <w:rPr>
          <w:rFonts w:ascii="Garamond" w:hAnsi="Garamond"/>
          <w:b/>
          <w:bCs/>
          <w:caps/>
        </w:rPr>
      </w:pPr>
    </w:p>
    <w:p w:rsidR="00194047" w:rsidRPr="00EF164B" w:rsidRDefault="00194047" w:rsidP="00194047">
      <w:pPr>
        <w:spacing w:after="60"/>
        <w:ind w:left="357" w:firstLine="708"/>
        <w:jc w:val="both"/>
        <w:rPr>
          <w:rFonts w:ascii="Garamond" w:hAnsi="Garamond"/>
          <w:b/>
          <w:bCs/>
        </w:rPr>
      </w:pPr>
      <w:r w:rsidRPr="00EF164B">
        <w:rPr>
          <w:rFonts w:ascii="Garamond" w:hAnsi="Garamond"/>
          <w:b/>
          <w:bCs/>
          <w:caps/>
        </w:rPr>
        <w:t xml:space="preserve">B) </w:t>
      </w:r>
      <w:r w:rsidRPr="00EF164B">
        <w:rPr>
          <w:rFonts w:ascii="Garamond" w:hAnsi="Garamond"/>
          <w:b/>
          <w:bCs/>
        </w:rPr>
        <w:t>Etendue du droit à indemnisation</w:t>
      </w:r>
    </w:p>
    <w:p w:rsidR="00194047" w:rsidRPr="00EF164B" w:rsidRDefault="00194047" w:rsidP="00194047">
      <w:pPr>
        <w:spacing w:after="60"/>
        <w:ind w:left="708" w:firstLine="708"/>
        <w:jc w:val="both"/>
        <w:rPr>
          <w:rFonts w:ascii="Garamond" w:hAnsi="Garamond"/>
          <w:bCs/>
        </w:rPr>
      </w:pPr>
      <w:r w:rsidRPr="00EF164B">
        <w:rPr>
          <w:rFonts w:ascii="Garamond" w:hAnsi="Garamond"/>
          <w:bCs/>
        </w:rPr>
        <w:t xml:space="preserve">1) Indemnisation entière du préjudice corporel des non-conducteurs </w:t>
      </w:r>
    </w:p>
    <w:p w:rsidR="00194047" w:rsidRPr="00EF164B" w:rsidRDefault="00194047" w:rsidP="00194047">
      <w:pPr>
        <w:spacing w:after="60"/>
        <w:ind w:left="1410"/>
        <w:jc w:val="both"/>
        <w:rPr>
          <w:rFonts w:ascii="Garamond" w:hAnsi="Garamond"/>
          <w:bCs/>
        </w:rPr>
      </w:pPr>
      <w:r w:rsidRPr="00EF164B">
        <w:rPr>
          <w:rFonts w:ascii="Garamond" w:hAnsi="Garamond"/>
        </w:rPr>
        <w:t xml:space="preserve">2) </w:t>
      </w:r>
      <w:r w:rsidRPr="00EF164B">
        <w:rPr>
          <w:rFonts w:ascii="Garamond" w:hAnsi="Garamond"/>
          <w:bCs/>
        </w:rPr>
        <w:t>Indemnisation relative de tout préjudice des conducteurs et du préjudice matériel des non-conducteurs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bCs/>
        </w:rPr>
      </w:pPr>
      <w:r w:rsidRPr="00EF164B">
        <w:rPr>
          <w:rFonts w:ascii="Garamond" w:hAnsi="Garamond"/>
          <w:b/>
          <w:bCs/>
        </w:rPr>
        <w:tab/>
      </w:r>
      <w:r w:rsidRPr="00EF164B">
        <w:rPr>
          <w:rFonts w:ascii="Garamond" w:hAnsi="Garamond"/>
          <w:b/>
          <w:bCs/>
        </w:rPr>
        <w:tab/>
      </w:r>
      <w:r w:rsidRPr="00EF164B">
        <w:rPr>
          <w:rFonts w:ascii="Garamond" w:hAnsi="Garamond"/>
          <w:bCs/>
        </w:rPr>
        <w:t xml:space="preserve">3) Droit prospectif : fin de la discrimination entre les victimes ? </w:t>
      </w:r>
      <w:r w:rsidRPr="00EF164B">
        <w:rPr>
          <w:rFonts w:ascii="Garamond" w:hAnsi="Garamond"/>
          <w:bCs/>
        </w:rPr>
        <w:tab/>
        <w:t xml:space="preserve">     </w:t>
      </w:r>
      <w:r w:rsidRPr="00EF164B">
        <w:rPr>
          <w:rFonts w:ascii="Garamond" w:hAnsi="Garamond"/>
          <w:bCs/>
        </w:rPr>
        <w:tab/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b/>
          <w:bCs/>
        </w:rPr>
      </w:pPr>
      <w:r w:rsidRPr="00EF164B">
        <w:rPr>
          <w:rFonts w:ascii="Garamond" w:hAnsi="Garamond"/>
          <w:b/>
          <w:bCs/>
        </w:rPr>
        <w:t xml:space="preserve">  </w:t>
      </w:r>
      <w:r w:rsidRPr="00EF164B">
        <w:rPr>
          <w:rFonts w:ascii="Garamond" w:hAnsi="Garamond"/>
          <w:b/>
          <w:bCs/>
        </w:rPr>
        <w:tab/>
        <w:t xml:space="preserve">      C) Actions récursoires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u w:val="single"/>
        </w:rPr>
      </w:pPr>
      <w:r w:rsidRPr="00EF164B">
        <w:rPr>
          <w:rFonts w:ascii="Garamond" w:hAnsi="Garamond"/>
          <w:u w:val="single"/>
        </w:rPr>
        <w:t>II) Le contrat d’assurance automobile obligatoire</w:t>
      </w:r>
    </w:p>
    <w:p w:rsidR="00194047" w:rsidRPr="00EF164B" w:rsidRDefault="00194047" w:rsidP="00194047">
      <w:pPr>
        <w:numPr>
          <w:ilvl w:val="0"/>
          <w:numId w:val="1"/>
        </w:numPr>
        <w:spacing w:after="60"/>
        <w:jc w:val="both"/>
        <w:rPr>
          <w:rFonts w:ascii="Garamond" w:hAnsi="Garamond"/>
          <w:b/>
        </w:rPr>
      </w:pPr>
      <w:r w:rsidRPr="00EF164B">
        <w:rPr>
          <w:rFonts w:ascii="Garamond" w:hAnsi="Garamond"/>
          <w:b/>
        </w:rPr>
        <w:t xml:space="preserve">La garantie d’assurance </w:t>
      </w:r>
    </w:p>
    <w:p w:rsidR="00194047" w:rsidRPr="00EF164B" w:rsidRDefault="00194047" w:rsidP="00194047">
      <w:pPr>
        <w:pStyle w:val="Paragraphedeliste"/>
        <w:numPr>
          <w:ilvl w:val="0"/>
          <w:numId w:val="3"/>
        </w:numPr>
        <w:spacing w:after="60"/>
        <w:jc w:val="both"/>
        <w:rPr>
          <w:rFonts w:ascii="Garamond" w:hAnsi="Garamond"/>
        </w:rPr>
      </w:pPr>
      <w:r w:rsidRPr="00EF164B">
        <w:rPr>
          <w:rFonts w:ascii="Garamond" w:hAnsi="Garamond"/>
        </w:rPr>
        <w:t>Personnes soumises à l’obligation d’assurance</w:t>
      </w:r>
    </w:p>
    <w:p w:rsidR="00194047" w:rsidRPr="00EF164B" w:rsidRDefault="00194047" w:rsidP="00194047">
      <w:pPr>
        <w:pStyle w:val="Paragraphedeliste"/>
        <w:numPr>
          <w:ilvl w:val="0"/>
          <w:numId w:val="3"/>
        </w:numPr>
        <w:spacing w:after="60"/>
        <w:jc w:val="both"/>
        <w:rPr>
          <w:rFonts w:ascii="Garamond" w:hAnsi="Garamond"/>
        </w:rPr>
      </w:pPr>
      <w:r w:rsidRPr="00EF164B">
        <w:rPr>
          <w:rFonts w:ascii="Garamond" w:hAnsi="Garamond"/>
        </w:rPr>
        <w:t>Garantie de base</w:t>
      </w:r>
    </w:p>
    <w:p w:rsidR="00194047" w:rsidRPr="00EF164B" w:rsidRDefault="00194047" w:rsidP="00194047">
      <w:pPr>
        <w:pStyle w:val="Paragraphedeliste"/>
        <w:numPr>
          <w:ilvl w:val="0"/>
          <w:numId w:val="3"/>
        </w:numPr>
        <w:spacing w:after="60"/>
        <w:jc w:val="both"/>
        <w:rPr>
          <w:rFonts w:ascii="Garamond" w:hAnsi="Garamond"/>
        </w:rPr>
      </w:pPr>
      <w:r w:rsidRPr="00EF164B">
        <w:rPr>
          <w:rFonts w:ascii="Garamond" w:hAnsi="Garamond"/>
        </w:rPr>
        <w:t>Restrictions</w:t>
      </w:r>
    </w:p>
    <w:p w:rsidR="00194047" w:rsidRPr="00EF164B" w:rsidRDefault="00194047" w:rsidP="00194047">
      <w:pPr>
        <w:pStyle w:val="Paragraphedeliste"/>
        <w:spacing w:after="60"/>
        <w:ind w:left="1440"/>
        <w:jc w:val="both"/>
        <w:rPr>
          <w:rFonts w:ascii="Garamond" w:hAnsi="Garamond"/>
          <w:b/>
        </w:rPr>
      </w:pPr>
    </w:p>
    <w:p w:rsidR="00194047" w:rsidRPr="00EF164B" w:rsidRDefault="00194047" w:rsidP="00194047">
      <w:pPr>
        <w:pStyle w:val="Paragraphedeliste"/>
        <w:spacing w:after="60"/>
        <w:ind w:left="1440"/>
        <w:jc w:val="both"/>
        <w:rPr>
          <w:rFonts w:ascii="Garamond" w:hAnsi="Garamond"/>
          <w:b/>
        </w:rPr>
      </w:pPr>
    </w:p>
    <w:p w:rsidR="00194047" w:rsidRPr="00EF164B" w:rsidRDefault="00194047" w:rsidP="00194047">
      <w:pPr>
        <w:pStyle w:val="Paragraphedeliste"/>
        <w:numPr>
          <w:ilvl w:val="0"/>
          <w:numId w:val="1"/>
        </w:numPr>
        <w:spacing w:after="60"/>
        <w:jc w:val="both"/>
        <w:rPr>
          <w:rFonts w:ascii="Garamond" w:hAnsi="Garamond"/>
          <w:b/>
        </w:rPr>
      </w:pPr>
      <w:r w:rsidRPr="00EF164B">
        <w:rPr>
          <w:rFonts w:ascii="Garamond" w:hAnsi="Garamond"/>
          <w:b/>
          <w:bCs/>
        </w:rPr>
        <w:t xml:space="preserve">La procédure d’offre </w:t>
      </w:r>
    </w:p>
    <w:p w:rsidR="00194047" w:rsidRPr="00EF164B" w:rsidRDefault="00194047" w:rsidP="00194047">
      <w:pPr>
        <w:spacing w:after="60"/>
        <w:ind w:left="357" w:firstLine="708"/>
        <w:jc w:val="both"/>
        <w:rPr>
          <w:rFonts w:ascii="Garamond" w:hAnsi="Garamond"/>
          <w:bCs/>
        </w:rPr>
      </w:pPr>
      <w:r w:rsidRPr="00EF164B">
        <w:rPr>
          <w:rFonts w:ascii="Garamond" w:hAnsi="Garamond"/>
          <w:bCs/>
        </w:rPr>
        <w:t>1) Conditions Préalables à l’offre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i/>
        </w:rPr>
      </w:pPr>
      <w:r w:rsidRPr="00EF164B">
        <w:rPr>
          <w:rFonts w:ascii="Garamond" w:hAnsi="Garamond"/>
          <w:b/>
          <w:bCs/>
        </w:rPr>
        <w:tab/>
      </w:r>
      <w:r w:rsidRPr="00EF164B">
        <w:rPr>
          <w:rFonts w:ascii="Garamond" w:hAnsi="Garamond"/>
          <w:b/>
          <w:bCs/>
        </w:rPr>
        <w:tab/>
      </w:r>
      <w:r w:rsidRPr="00EF164B">
        <w:rPr>
          <w:rFonts w:ascii="Garamond" w:hAnsi="Garamond"/>
          <w:bCs/>
          <w:i/>
        </w:rPr>
        <w:t>a) Sujets de l’offre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bCs/>
          <w:i/>
        </w:rPr>
      </w:pPr>
      <w:r w:rsidRPr="00EF164B">
        <w:rPr>
          <w:rFonts w:ascii="Garamond" w:hAnsi="Garamond"/>
          <w:i/>
        </w:rPr>
        <w:tab/>
      </w:r>
      <w:r w:rsidRPr="00EF164B">
        <w:rPr>
          <w:rFonts w:ascii="Garamond" w:hAnsi="Garamond"/>
          <w:i/>
        </w:rPr>
        <w:tab/>
        <w:t>b)</w:t>
      </w:r>
      <w:r w:rsidRPr="00EF164B">
        <w:rPr>
          <w:rFonts w:ascii="Garamond" w:hAnsi="Garamond"/>
          <w:bCs/>
          <w:i/>
        </w:rPr>
        <w:t xml:space="preserve"> Information réciproque des sujets de l’offre</w:t>
      </w:r>
    </w:p>
    <w:p w:rsidR="00194047" w:rsidRPr="00EF164B" w:rsidRDefault="00194047" w:rsidP="00194047">
      <w:pPr>
        <w:tabs>
          <w:tab w:val="left" w:pos="993"/>
        </w:tabs>
        <w:spacing w:after="60"/>
        <w:ind w:left="426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 </w:t>
      </w:r>
      <w:r w:rsidRPr="00EF164B">
        <w:rPr>
          <w:rFonts w:ascii="Garamond" w:hAnsi="Garamond"/>
          <w:bCs/>
        </w:rPr>
        <w:t>2) L’offre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bCs/>
          <w:i/>
        </w:rPr>
      </w:pPr>
      <w:r w:rsidRPr="00EF164B">
        <w:rPr>
          <w:rFonts w:ascii="Garamond" w:hAnsi="Garamond"/>
          <w:b/>
          <w:bCs/>
        </w:rPr>
        <w:tab/>
      </w:r>
      <w:r w:rsidRPr="00EF164B">
        <w:rPr>
          <w:rFonts w:ascii="Garamond" w:hAnsi="Garamond"/>
          <w:b/>
          <w:bCs/>
        </w:rPr>
        <w:tab/>
      </w:r>
      <w:r w:rsidRPr="00EF164B">
        <w:rPr>
          <w:rFonts w:ascii="Garamond" w:hAnsi="Garamond"/>
          <w:bCs/>
          <w:i/>
        </w:rPr>
        <w:t>a) Délais impartis à l’assureur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bCs/>
          <w:i/>
        </w:rPr>
      </w:pPr>
      <w:r w:rsidRPr="00EF164B">
        <w:rPr>
          <w:rFonts w:ascii="Garamond" w:hAnsi="Garamond"/>
          <w:bCs/>
          <w:i/>
        </w:rPr>
        <w:tab/>
      </w:r>
      <w:r w:rsidRPr="00EF164B">
        <w:rPr>
          <w:rFonts w:ascii="Garamond" w:hAnsi="Garamond"/>
          <w:bCs/>
          <w:i/>
        </w:rPr>
        <w:tab/>
      </w:r>
      <w:r w:rsidRPr="00EF164B">
        <w:rPr>
          <w:rFonts w:ascii="Garamond" w:hAnsi="Garamond"/>
          <w:i/>
        </w:rPr>
        <w:t>b)</w:t>
      </w:r>
      <w:r w:rsidRPr="00EF164B">
        <w:rPr>
          <w:rFonts w:ascii="Garamond" w:hAnsi="Garamond"/>
          <w:bCs/>
          <w:i/>
        </w:rPr>
        <w:t xml:space="preserve"> Contenu de l’offre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  <w:bCs/>
          <w:i/>
        </w:rPr>
      </w:pPr>
      <w:r w:rsidRPr="00EF164B">
        <w:rPr>
          <w:rFonts w:ascii="Garamond" w:hAnsi="Garamond"/>
          <w:bCs/>
          <w:i/>
        </w:rPr>
        <w:tab/>
      </w:r>
      <w:r w:rsidRPr="00EF164B">
        <w:rPr>
          <w:rFonts w:ascii="Garamond" w:hAnsi="Garamond"/>
          <w:bCs/>
          <w:i/>
        </w:rPr>
        <w:tab/>
      </w:r>
      <w:r w:rsidRPr="00EF164B">
        <w:rPr>
          <w:rFonts w:ascii="Garamond" w:hAnsi="Garamond"/>
          <w:i/>
        </w:rPr>
        <w:t>c)</w:t>
      </w:r>
      <w:r w:rsidRPr="00EF164B">
        <w:rPr>
          <w:rFonts w:ascii="Garamond" w:hAnsi="Garamond"/>
          <w:bCs/>
          <w:i/>
        </w:rPr>
        <w:t xml:space="preserve"> Transaction ?</w:t>
      </w:r>
    </w:p>
    <w:p w:rsidR="00194047" w:rsidRPr="00EF164B" w:rsidRDefault="00194047" w:rsidP="00194047">
      <w:pPr>
        <w:spacing w:after="60"/>
        <w:jc w:val="both"/>
        <w:rPr>
          <w:rFonts w:ascii="Garamond" w:hAnsi="Garamond"/>
        </w:rPr>
      </w:pPr>
      <w:r w:rsidRPr="00EF164B">
        <w:rPr>
          <w:rFonts w:ascii="Garamond" w:hAnsi="Garamond"/>
          <w:bCs/>
          <w:u w:val="single"/>
        </w:rPr>
        <w:lastRenderedPageBreak/>
        <w:t>III) Aperçu de l’intervention du FGAOD</w:t>
      </w:r>
    </w:p>
    <w:p w:rsidR="008D56F4" w:rsidRDefault="008D56F4"/>
    <w:sectPr w:rsidR="008D56F4" w:rsidSect="00EC4A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47" w:rsidRDefault="00194047" w:rsidP="00194047">
      <w:r>
        <w:separator/>
      </w:r>
    </w:p>
  </w:endnote>
  <w:endnote w:type="continuationSeparator" w:id="0">
    <w:p w:rsidR="00194047" w:rsidRDefault="00194047" w:rsidP="0019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47" w:rsidRDefault="00194047" w:rsidP="00194047">
      <w:r>
        <w:separator/>
      </w:r>
    </w:p>
  </w:footnote>
  <w:footnote w:type="continuationSeparator" w:id="0">
    <w:p w:rsidR="00194047" w:rsidRDefault="00194047" w:rsidP="0019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47CD"/>
    <w:multiLevelType w:val="hybridMultilevel"/>
    <w:tmpl w:val="FD4CF2E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6433D5"/>
    <w:multiLevelType w:val="hybridMultilevel"/>
    <w:tmpl w:val="5B727C20"/>
    <w:lvl w:ilvl="0" w:tplc="B7826EC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861C9D"/>
    <w:multiLevelType w:val="hybridMultilevel"/>
    <w:tmpl w:val="CEDAFABA"/>
    <w:lvl w:ilvl="0" w:tplc="92E8593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47"/>
    <w:rsid w:val="00194047"/>
    <w:rsid w:val="008D56F4"/>
    <w:rsid w:val="00EC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E82D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47"/>
    <w:rPr>
      <w:rFonts w:asciiTheme="minorHAnsi" w:eastAsiaTheme="minorHAnsi" w:hAnsi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40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40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4047"/>
    <w:rPr>
      <w:rFonts w:asciiTheme="minorHAnsi" w:eastAsiaTheme="minorHAnsi" w:hAnsi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940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4047"/>
    <w:rPr>
      <w:rFonts w:asciiTheme="minorHAnsi" w:eastAsiaTheme="minorHAnsi" w:hAnsiTheme="minorHAns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47"/>
    <w:rPr>
      <w:rFonts w:asciiTheme="minorHAnsi" w:eastAsiaTheme="minorHAnsi" w:hAnsi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40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940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4047"/>
    <w:rPr>
      <w:rFonts w:asciiTheme="minorHAnsi" w:eastAsiaTheme="minorHAnsi" w:hAnsi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940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4047"/>
    <w:rPr>
      <w:rFonts w:asciiTheme="minorHAnsi" w:eastAsia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1317</Characters>
  <Application>Microsoft Macintosh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dc:description/>
  <cp:lastModifiedBy>Sabine</cp:lastModifiedBy>
  <cp:revision>1</cp:revision>
  <dcterms:created xsi:type="dcterms:W3CDTF">2019-01-25T09:55:00Z</dcterms:created>
  <dcterms:modified xsi:type="dcterms:W3CDTF">2019-01-25T09:56:00Z</dcterms:modified>
</cp:coreProperties>
</file>