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9CC" w:rsidRPr="00DE7337" w:rsidRDefault="00D549CC" w:rsidP="00D54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DE7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DROIT DE L’ENVIRONNEMENT</w:t>
      </w:r>
    </w:p>
    <w:bookmarkEnd w:id="0"/>
    <w:p w:rsidR="00D549CC" w:rsidRDefault="00D549CC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49CC" w:rsidRDefault="00D549CC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Le statut juridique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 – Le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A. Définitions et finalités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B. Autonomie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C. Caractères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PREMIERE PARTIE. DROIT GÉNÉRAL DE L’ENVIRONNEMENT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Chapitre 1. LES SOURCES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Les sources supranationales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Le droit international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Le droit de l’Union européenne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Le droit européen (CEDH)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Les sources internes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La Charte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- Le Code de l’environnement et les autres sources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Chapitre 2. LES PRINCIPES GÉNÉRAUX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Les principes originels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Les principes de prévention et de précaution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Le principe pollueur-payeur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Le droit à l’information et à la participation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A. Le droit à l’information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B. Le principe de participation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Les principes issus de la loi « Biodiversité »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Le principe de solidarité écologique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Le principe de non-régression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Les « principes » de l’utilisation durable et de complémentarité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Chapitre 3. LES OUTILS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Les outils traditionnels du droit de l’environnement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La police administrative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La planification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Les instruments économiques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La fiscalité écologique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Les marchés de droits d’émission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Les paiements pour services environnementaux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3. – L’évaluation environnementale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Précisions liminaires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L’étude d’impact des travaux, ouvrages et aménagements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L’évaluation environnementale des plans et programmes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DEUXIEME PARTIE. DROIT SPÉCIAL DE L'ENVIRONNEMENT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Chapitre 1. LES INSTALLATIONS CLASSEES POUR LA PROTECTION DE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L’ENVIRONNEMENT (ICPE)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L'exploitation d'une ICPE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L'obtention du titre d’exploitation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La constitution de garanties financières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Les prescriptions de fonctionnement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La cessation d’activité d’une ICPE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La notification de la cessation d’activité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L’obligation de remise en état du site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A. Les débiteurs de l'obligation de remise en état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B. L’encadrement temporel de l'obligation de remise en état : la prescription trentenaire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Chapitre 2. LA QUALITÉ DE L’AIR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Les bases du dispositif de gestion de la qualité de l’air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Les normes de qualité de l’air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La surveillance de la qualité de l’air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Les instruments généraux de gestion de la qualité de l’air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Les procédures d’urgence et d’information-recommandations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Le plan de protection de l'atmosphère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3. – Les outils relatifs à la circulation routière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Les zones à circulation restreinte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Les plans de déplacements urbains. Le péage urbain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Chapitre 3. LES NUISANCES SONORES ET LUMINEUSES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Le bruit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L’évaluation et la gestion du bruit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La prévention et la réduction du bruit des transports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La protection des zones de calmes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La police spéciale des nuisances lumineuses</w:t>
      </w:r>
    </w:p>
    <w:p w:rsidR="00103689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7337">
        <w:rPr>
          <w:rFonts w:ascii="Times New Roman" w:hAnsi="Times New Roman" w:cs="Times New Roman"/>
          <w:b/>
          <w:bCs/>
          <w:sz w:val="24"/>
          <w:szCs w:val="24"/>
        </w:rPr>
        <w:t>Chapitre 4. LES DÉCHETS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1. – Principes directeurs de la gestion des déchets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La limitation de la quantité et de la dangerosité des déchets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A. La prévention des déchets inutiles ou facilement évitables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a. – Le gaspillage alimentaire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b. – L’obsolescence programmée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B. L’écoconception des produits générateurs de déchets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2. – La hiérarchie des modes de traitement des déchets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3. – Les principes de proximité et d’autosuffisance</w:t>
      </w:r>
    </w:p>
    <w:p w:rsidR="00103689" w:rsidRPr="00DE7337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Section 2. – Outils de la gestion des déchets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7337">
        <w:rPr>
          <w:rFonts w:ascii="Times New Roman" w:hAnsi="Times New Roman" w:cs="Times New Roman"/>
          <w:sz w:val="24"/>
          <w:szCs w:val="24"/>
        </w:rPr>
        <w:t>§ 1. – La responsabilité élargie du producteur (REP) de produits générateurs de déchets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A1291">
        <w:rPr>
          <w:rFonts w:ascii="Times New Roman" w:hAnsi="Times New Roman" w:cs="Times New Roman"/>
          <w:sz w:val="24"/>
          <w:szCs w:val="24"/>
        </w:rPr>
        <w:t>§ 2. – La planification de la prévention et de la gestion des déchets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A1291">
        <w:rPr>
          <w:rFonts w:ascii="Times New Roman" w:hAnsi="Times New Roman" w:cs="Times New Roman"/>
          <w:b/>
          <w:bCs/>
          <w:sz w:val="24"/>
          <w:szCs w:val="24"/>
        </w:rPr>
        <w:t>Chapitre 5. LES RISQUES MAJEURS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A1291">
        <w:rPr>
          <w:rFonts w:ascii="Times New Roman" w:hAnsi="Times New Roman" w:cs="Times New Roman"/>
          <w:sz w:val="24"/>
          <w:szCs w:val="24"/>
        </w:rPr>
        <w:t>Section 1. – Les instruments généraux de gestion des risques naturels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A1291">
        <w:rPr>
          <w:rFonts w:ascii="Times New Roman" w:hAnsi="Times New Roman" w:cs="Times New Roman"/>
          <w:sz w:val="24"/>
          <w:szCs w:val="24"/>
        </w:rPr>
        <w:t>§ 1. – L’appropriation publique des immeubles exposés à certains risques naturels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A1291">
        <w:rPr>
          <w:rFonts w:ascii="Times New Roman" w:hAnsi="Times New Roman" w:cs="Times New Roman"/>
          <w:sz w:val="24"/>
          <w:szCs w:val="24"/>
        </w:rPr>
        <w:t>§ 2. – Le plan de prévention des risques naturels prévisibles (PPRNP)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A1291">
        <w:rPr>
          <w:rFonts w:ascii="Times New Roman" w:hAnsi="Times New Roman" w:cs="Times New Roman"/>
          <w:sz w:val="24"/>
          <w:szCs w:val="24"/>
        </w:rPr>
        <w:lastRenderedPageBreak/>
        <w:t>Section 2. – La réduction de la vulnérabilité autour des sites à risques industriels</w:t>
      </w:r>
    </w:p>
    <w:p w:rsidR="00103689" w:rsidRPr="00BA1291" w:rsidRDefault="00103689" w:rsidP="0010368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A1291">
        <w:rPr>
          <w:rFonts w:ascii="Times New Roman" w:hAnsi="Times New Roman" w:cs="Times New Roman"/>
          <w:sz w:val="24"/>
          <w:szCs w:val="24"/>
        </w:rPr>
        <w:t>§ 1. – Le périmètre de haut risque</w:t>
      </w:r>
    </w:p>
    <w:p w:rsidR="00103689" w:rsidRPr="00BA1291" w:rsidRDefault="00103689" w:rsidP="0010368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1291">
        <w:rPr>
          <w:rFonts w:ascii="Times New Roman" w:hAnsi="Times New Roman" w:cs="Times New Roman"/>
          <w:sz w:val="24"/>
          <w:szCs w:val="24"/>
        </w:rPr>
        <w:t>§ 2. – Le plan de prévention des risques technologiques majeurs (PPRT)</w:t>
      </w:r>
    </w:p>
    <w:p w:rsidR="004702D5" w:rsidRPr="00103689" w:rsidRDefault="004702D5" w:rsidP="00103689"/>
    <w:sectPr w:rsidR="004702D5" w:rsidRPr="0010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663E"/>
    <w:multiLevelType w:val="hybridMultilevel"/>
    <w:tmpl w:val="58D8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2667"/>
    <w:multiLevelType w:val="hybridMultilevel"/>
    <w:tmpl w:val="CB0075AE"/>
    <w:lvl w:ilvl="0" w:tplc="85D80D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76F0B"/>
    <w:multiLevelType w:val="hybridMultilevel"/>
    <w:tmpl w:val="3C46BDD0"/>
    <w:lvl w:ilvl="0" w:tplc="A4E6B570">
      <w:start w:val="5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012E3"/>
    <w:multiLevelType w:val="hybridMultilevel"/>
    <w:tmpl w:val="92600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0C01"/>
    <w:multiLevelType w:val="hybridMultilevel"/>
    <w:tmpl w:val="D302A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BC"/>
    <w:rsid w:val="00103689"/>
    <w:rsid w:val="00192AEA"/>
    <w:rsid w:val="002513DA"/>
    <w:rsid w:val="004702D5"/>
    <w:rsid w:val="006B18F0"/>
    <w:rsid w:val="00A710BC"/>
    <w:rsid w:val="00D549CC"/>
    <w:rsid w:val="00DB4BB9"/>
    <w:rsid w:val="00F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4F33"/>
  <w15:chartTrackingRefBased/>
  <w15:docId w15:val="{9043F037-1C7B-4BB7-9FE7-C8A815D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689"/>
  </w:style>
  <w:style w:type="paragraph" w:styleId="Titre1">
    <w:name w:val="heading 1"/>
    <w:basedOn w:val="Normal"/>
    <w:next w:val="Normal"/>
    <w:link w:val="Titre1Car"/>
    <w:uiPriority w:val="9"/>
    <w:qFormat/>
    <w:rsid w:val="00192AE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710BC"/>
    <w:pPr>
      <w:spacing w:after="0" w:line="240" w:lineRule="auto"/>
      <w:ind w:left="720"/>
      <w:contextualSpacing/>
    </w:pPr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rsid w:val="00A710BC"/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paragraph" w:styleId="Sansinterligne">
    <w:name w:val="No Spacing"/>
    <w:uiPriority w:val="1"/>
    <w:qFormat/>
    <w:rsid w:val="00DB4BB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92AE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rsid w:val="00192A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ALLEMONIERE Marie</dc:creator>
  <cp:keywords/>
  <dc:description/>
  <cp:lastModifiedBy>ALLEMONIERE Marie</cp:lastModifiedBy>
  <cp:revision>2</cp:revision>
  <dcterms:created xsi:type="dcterms:W3CDTF">2020-07-17T13:45:00Z</dcterms:created>
  <dcterms:modified xsi:type="dcterms:W3CDTF">2020-07-17T13:45:00Z</dcterms:modified>
</cp:coreProperties>
</file>