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9CC" w:rsidRPr="00DE7337" w:rsidRDefault="00D549CC" w:rsidP="00D54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DE7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DROIT DE L’ENVIRONNEMENT</w:t>
      </w:r>
    </w:p>
    <w:bookmarkEnd w:id="0"/>
    <w:p w:rsidR="00D549CC" w:rsidRDefault="00D549CC" w:rsidP="0010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49CC" w:rsidRDefault="00D549CC" w:rsidP="0010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337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1. – L’environnement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2. – Le statut juridique de l’environnement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 – Le droit de l’environnement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A. Définitions et finalités du droit de l’environnement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B. Autonomie du droit de l’environnement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C. Caractères du droit de l’environnement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337">
        <w:rPr>
          <w:rFonts w:ascii="Times New Roman" w:hAnsi="Times New Roman" w:cs="Times New Roman"/>
          <w:b/>
          <w:bCs/>
          <w:sz w:val="24"/>
          <w:szCs w:val="24"/>
        </w:rPr>
        <w:t>PREMIERE PARTIE. DROIT GÉNÉRAL DE L’ENVIRONNEMENT</w:t>
      </w:r>
    </w:p>
    <w:p w:rsidR="00103689" w:rsidRDefault="00103689" w:rsidP="001036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E7337">
        <w:rPr>
          <w:rFonts w:ascii="Times New Roman" w:hAnsi="Times New Roman" w:cs="Times New Roman"/>
          <w:b/>
          <w:bCs/>
          <w:sz w:val="24"/>
          <w:szCs w:val="24"/>
        </w:rPr>
        <w:t>Chapitre 1. LES SOURCES DU DROIT DE L’ENVIRONNEMENT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Section 1. – Les sources supranationales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1. – Le droit international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2. – Le droit de l’Union européenne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3. – Le droit européen (CEDH)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Section 2. – Les sources internes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1. – La Charte de l’environnement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2. - Le Code de l’environnement et les autres sources</w:t>
      </w:r>
    </w:p>
    <w:p w:rsidR="00103689" w:rsidRDefault="00103689" w:rsidP="0010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337">
        <w:rPr>
          <w:rFonts w:ascii="Times New Roman" w:hAnsi="Times New Roman" w:cs="Times New Roman"/>
          <w:b/>
          <w:bCs/>
          <w:sz w:val="24"/>
          <w:szCs w:val="24"/>
        </w:rPr>
        <w:t>Chapitre 2. LES PRINCIPES GÉNÉRAUX DU DROIT DE L’ENVIRONNEMENT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Section 1. – Les principes originels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1. – Les principes de prévention et de précaution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2. – Le principe pollueur-payeur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3. – Le droit à l’information et à la participation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A. Le droit à l’information</w:t>
      </w:r>
    </w:p>
    <w:p w:rsidR="00103689" w:rsidRDefault="00103689" w:rsidP="0010368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B. Le principe de participation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Section 2. – Les principes issus de la loi « Biodiversité »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1. – Le principe de solidarité écologique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2. – Le principe de non-régression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3. – Les « principes » de l’utilisation durable et de complémentarité</w:t>
      </w:r>
    </w:p>
    <w:p w:rsidR="00103689" w:rsidRDefault="00103689" w:rsidP="0010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E7337">
        <w:rPr>
          <w:rFonts w:ascii="Times New Roman" w:hAnsi="Times New Roman" w:cs="Times New Roman"/>
          <w:b/>
          <w:bCs/>
          <w:sz w:val="24"/>
          <w:szCs w:val="24"/>
        </w:rPr>
        <w:t>Chapitre 3. LES OUTILS DU DROIT DE L’ENVIRONNEMENT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Section 1. – Les outils traditionnels du droit de l’environnement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1. – La police administrative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2. – La planification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Section 2. – Les instruments économiques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1. – La fiscalité écologique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2. – Les marchés de droits d’émission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3. – Les paiements pour services environnementaux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Section 3. – L’évaluation environnementale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1. – Précisions liminaires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2. – L’étude d’impact des travaux, ouvrages et aménagements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3. – L’évaluation environnementale des plans et programmes</w:t>
      </w:r>
    </w:p>
    <w:p w:rsidR="00103689" w:rsidRDefault="00103689" w:rsidP="0010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337">
        <w:rPr>
          <w:rFonts w:ascii="Times New Roman" w:hAnsi="Times New Roman" w:cs="Times New Roman"/>
          <w:b/>
          <w:bCs/>
          <w:sz w:val="24"/>
          <w:szCs w:val="24"/>
        </w:rPr>
        <w:t>DEUXIEME PARTIE. DROIT SPÉCIAL DE L'ENVIRONNEMENT</w:t>
      </w:r>
    </w:p>
    <w:p w:rsidR="00103689" w:rsidRDefault="00103689" w:rsidP="0010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E7337">
        <w:rPr>
          <w:rFonts w:ascii="Times New Roman" w:hAnsi="Times New Roman" w:cs="Times New Roman"/>
          <w:b/>
          <w:bCs/>
          <w:sz w:val="24"/>
          <w:szCs w:val="24"/>
        </w:rPr>
        <w:lastRenderedPageBreak/>
        <w:t>Chapitre 1. LES INSTALLATIONS CLASSEES POUR LA PROTECTION DE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337">
        <w:rPr>
          <w:rFonts w:ascii="Times New Roman" w:hAnsi="Times New Roman" w:cs="Times New Roman"/>
          <w:b/>
          <w:bCs/>
          <w:sz w:val="24"/>
          <w:szCs w:val="24"/>
        </w:rPr>
        <w:t>L’ENVIRONNEMENT (ICPE)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Section 1. – L'exploitation d'une ICPE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1. L'obtention du titre d’exploitation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2. La constitution de garanties financières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3. Les prescriptions de fonctionnement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Section 2. – La cessation d’activité d’une ICPE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1. La notification de la cessation d’activité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2. L’obligation de remise en état du site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A. Les débiteurs de l'obligation de remise en état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B. L’encadrement temporel de l'obligation de remise en état : la prescription trentenaire</w:t>
      </w:r>
    </w:p>
    <w:p w:rsidR="00103689" w:rsidRDefault="00103689" w:rsidP="001036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E7337">
        <w:rPr>
          <w:rFonts w:ascii="Times New Roman" w:hAnsi="Times New Roman" w:cs="Times New Roman"/>
          <w:b/>
          <w:bCs/>
          <w:sz w:val="24"/>
          <w:szCs w:val="24"/>
        </w:rPr>
        <w:t>Chapitre 2. LA QUALITÉ DE L’AIR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Section 1. – Les bases du dispositif de gestion de la qualité de l’air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1. Les normes de qualité de l’air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2. La surveillance de la qualité de l’air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Section 2. – Les instruments généraux de gestion de la qualité de l’air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1. Les procédures d’urgence et d’information-recommandations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2. Le plan de protection de l'atmosphère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Section 3. – Les outils relatifs à la circulation routière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1. Les zones à circulation restreinte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2. Les plans de déplacements urbains. Le péage urbain</w:t>
      </w:r>
    </w:p>
    <w:p w:rsidR="00103689" w:rsidRDefault="00103689" w:rsidP="0010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E7337">
        <w:rPr>
          <w:rFonts w:ascii="Times New Roman" w:hAnsi="Times New Roman" w:cs="Times New Roman"/>
          <w:b/>
          <w:bCs/>
          <w:sz w:val="24"/>
          <w:szCs w:val="24"/>
        </w:rPr>
        <w:t>Chapitre 3. LES NUISANCES SONORES ET LUMINEUSES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Section 1. – Le bruit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1. – L’évaluation et la gestion du bruit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2. – La prévention et la réduction du bruit des transports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3. – La protection des zones de calmes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Section 2. – La police spéciale des nuisances lumineuses</w:t>
      </w:r>
    </w:p>
    <w:p w:rsidR="00103689" w:rsidRDefault="00103689" w:rsidP="001036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E7337">
        <w:rPr>
          <w:rFonts w:ascii="Times New Roman" w:hAnsi="Times New Roman" w:cs="Times New Roman"/>
          <w:b/>
          <w:bCs/>
          <w:sz w:val="24"/>
          <w:szCs w:val="24"/>
        </w:rPr>
        <w:t>Chapitre 4. LES DÉCHETS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Section 1. – Principes directeurs de la gestion des déchets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1. – La limitation de la quantité et de la dangerosité des déchets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A. La prévention des déchets inutiles ou facilement évitables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a. – Le gaspillage alimentaire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b. – L’obsolescence programmée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B. L’écoconception des produits générateurs de déchets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2. – La hiérarchie des modes de traitement des déchets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3. – Les principes de proximité et d’autosuffisance</w:t>
      </w:r>
    </w:p>
    <w:p w:rsidR="00103689" w:rsidRPr="00DE7337" w:rsidRDefault="00103689" w:rsidP="001036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Section 2. – Outils de la gestion des déchets</w:t>
      </w:r>
    </w:p>
    <w:p w:rsidR="00103689" w:rsidRPr="00BA1291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E7337">
        <w:rPr>
          <w:rFonts w:ascii="Times New Roman" w:hAnsi="Times New Roman" w:cs="Times New Roman"/>
          <w:sz w:val="24"/>
          <w:szCs w:val="24"/>
        </w:rPr>
        <w:t>§ 1. – La responsabilité élargie du producteur (REP) de produits générateurs de déchets</w:t>
      </w:r>
    </w:p>
    <w:p w:rsidR="00103689" w:rsidRPr="00BA1291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A1291">
        <w:rPr>
          <w:rFonts w:ascii="Times New Roman" w:hAnsi="Times New Roman" w:cs="Times New Roman"/>
          <w:sz w:val="24"/>
          <w:szCs w:val="24"/>
        </w:rPr>
        <w:t>§ 2. – La planification de la prévention et de la gestion des déchets</w:t>
      </w:r>
    </w:p>
    <w:p w:rsidR="00103689" w:rsidRPr="00BA1291" w:rsidRDefault="00103689" w:rsidP="0010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689" w:rsidRPr="00BA1291" w:rsidRDefault="00103689" w:rsidP="0010368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BA1291">
        <w:rPr>
          <w:rFonts w:ascii="Times New Roman" w:hAnsi="Times New Roman" w:cs="Times New Roman"/>
          <w:b/>
          <w:bCs/>
          <w:sz w:val="24"/>
          <w:szCs w:val="24"/>
        </w:rPr>
        <w:t>Chapitre 5. LES RISQUES MAJEURS</w:t>
      </w:r>
    </w:p>
    <w:p w:rsidR="00103689" w:rsidRPr="00BA1291" w:rsidRDefault="00103689" w:rsidP="001036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1291">
        <w:rPr>
          <w:rFonts w:ascii="Times New Roman" w:hAnsi="Times New Roman" w:cs="Times New Roman"/>
          <w:sz w:val="24"/>
          <w:szCs w:val="24"/>
        </w:rPr>
        <w:t>Section 1. – Les instruments généraux de gestion des risques naturels</w:t>
      </w:r>
    </w:p>
    <w:p w:rsidR="00103689" w:rsidRPr="00BA1291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A1291">
        <w:rPr>
          <w:rFonts w:ascii="Times New Roman" w:hAnsi="Times New Roman" w:cs="Times New Roman"/>
          <w:sz w:val="24"/>
          <w:szCs w:val="24"/>
        </w:rPr>
        <w:t>§ 1. – L’appropriation publique des immeubles exposés à certains risques naturels</w:t>
      </w:r>
    </w:p>
    <w:p w:rsidR="00103689" w:rsidRPr="00BA1291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A1291">
        <w:rPr>
          <w:rFonts w:ascii="Times New Roman" w:hAnsi="Times New Roman" w:cs="Times New Roman"/>
          <w:sz w:val="24"/>
          <w:szCs w:val="24"/>
        </w:rPr>
        <w:t>§ 2. – Le plan de prévention des risques naturels prévisibles (PPRNP)</w:t>
      </w:r>
    </w:p>
    <w:p w:rsidR="00103689" w:rsidRPr="00BA1291" w:rsidRDefault="00103689" w:rsidP="0010368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A1291">
        <w:rPr>
          <w:rFonts w:ascii="Times New Roman" w:hAnsi="Times New Roman" w:cs="Times New Roman"/>
          <w:sz w:val="24"/>
          <w:szCs w:val="24"/>
        </w:rPr>
        <w:lastRenderedPageBreak/>
        <w:t>Section 2. – La réduction de la vulnérabilité autour des sites à risques industriels</w:t>
      </w:r>
    </w:p>
    <w:p w:rsidR="00103689" w:rsidRPr="00BA1291" w:rsidRDefault="00103689" w:rsidP="0010368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A1291">
        <w:rPr>
          <w:rFonts w:ascii="Times New Roman" w:hAnsi="Times New Roman" w:cs="Times New Roman"/>
          <w:sz w:val="24"/>
          <w:szCs w:val="24"/>
        </w:rPr>
        <w:t>§ 1. – Le périmètre de haut risque</w:t>
      </w:r>
    </w:p>
    <w:p w:rsidR="00103689" w:rsidRPr="00BA1291" w:rsidRDefault="00103689" w:rsidP="0010368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1291">
        <w:rPr>
          <w:rFonts w:ascii="Times New Roman" w:hAnsi="Times New Roman" w:cs="Times New Roman"/>
          <w:sz w:val="24"/>
          <w:szCs w:val="24"/>
        </w:rPr>
        <w:t>§ 2. – Le plan de prévention des risques technologiques majeurs (PPRT)</w:t>
      </w:r>
    </w:p>
    <w:p w:rsidR="004702D5" w:rsidRPr="00103689" w:rsidRDefault="004702D5" w:rsidP="00103689"/>
    <w:sectPr w:rsidR="004702D5" w:rsidRPr="0010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663E"/>
    <w:multiLevelType w:val="hybridMultilevel"/>
    <w:tmpl w:val="58D8A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A2667"/>
    <w:multiLevelType w:val="hybridMultilevel"/>
    <w:tmpl w:val="CB0075AE"/>
    <w:lvl w:ilvl="0" w:tplc="85D80D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76F0B"/>
    <w:multiLevelType w:val="hybridMultilevel"/>
    <w:tmpl w:val="3C46BDD0"/>
    <w:lvl w:ilvl="0" w:tplc="A4E6B570">
      <w:start w:val="5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12E3"/>
    <w:multiLevelType w:val="hybridMultilevel"/>
    <w:tmpl w:val="92600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10C01"/>
    <w:multiLevelType w:val="hybridMultilevel"/>
    <w:tmpl w:val="D302A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BC"/>
    <w:rsid w:val="00103689"/>
    <w:rsid w:val="00192AEA"/>
    <w:rsid w:val="002513DA"/>
    <w:rsid w:val="004702D5"/>
    <w:rsid w:val="006B18F0"/>
    <w:rsid w:val="00A710BC"/>
    <w:rsid w:val="00D549CC"/>
    <w:rsid w:val="00DB4BB9"/>
    <w:rsid w:val="00F0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4F33"/>
  <w15:chartTrackingRefBased/>
  <w15:docId w15:val="{9043F037-1C7B-4BB7-9FE7-C8A815DD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689"/>
  </w:style>
  <w:style w:type="paragraph" w:styleId="Titre1">
    <w:name w:val="heading 1"/>
    <w:basedOn w:val="Normal"/>
    <w:next w:val="Normal"/>
    <w:link w:val="Titre1Car"/>
    <w:uiPriority w:val="9"/>
    <w:qFormat/>
    <w:rsid w:val="00192AE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A710BC"/>
    <w:pPr>
      <w:spacing w:after="0" w:line="240" w:lineRule="auto"/>
      <w:ind w:left="720"/>
      <w:contextualSpacing/>
    </w:pPr>
    <w:rPr>
      <w:rFonts w:ascii="(Utiliser une police de caractè" w:eastAsia="SimSun" w:hAnsi="(Utiliser une police de caractè" w:cs="Times New Roman"/>
      <w:iCs/>
      <w:sz w:val="24"/>
      <w:szCs w:val="24"/>
      <w:lang w:eastAsia="zh-CN"/>
    </w:rPr>
  </w:style>
  <w:style w:type="character" w:customStyle="1" w:styleId="ParagraphedelisteCar">
    <w:name w:val="Paragraphe de liste Car"/>
    <w:link w:val="Paragraphedeliste"/>
    <w:uiPriority w:val="34"/>
    <w:rsid w:val="00A710BC"/>
    <w:rPr>
      <w:rFonts w:ascii="(Utiliser une police de caractè" w:eastAsia="SimSun" w:hAnsi="(Utiliser une police de caractè" w:cs="Times New Roman"/>
      <w:iCs/>
      <w:sz w:val="24"/>
      <w:szCs w:val="24"/>
      <w:lang w:eastAsia="zh-CN"/>
    </w:rPr>
  </w:style>
  <w:style w:type="paragraph" w:styleId="Sansinterligne">
    <w:name w:val="No Spacing"/>
    <w:uiPriority w:val="1"/>
    <w:qFormat/>
    <w:rsid w:val="00DB4BB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92AE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rsid w:val="0019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ALLEMONIERE Marie</dc:creator>
  <cp:keywords/>
  <dc:description/>
  <cp:lastModifiedBy>ALLEMONIERE Marie</cp:lastModifiedBy>
  <cp:revision>2</cp:revision>
  <dcterms:created xsi:type="dcterms:W3CDTF">2020-07-17T13:45:00Z</dcterms:created>
  <dcterms:modified xsi:type="dcterms:W3CDTF">2020-07-17T13:45:00Z</dcterms:modified>
</cp:coreProperties>
</file>