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86" w:rsidRPr="003C3378" w:rsidRDefault="00915B86" w:rsidP="00915B86">
      <w:pPr>
        <w:rPr>
          <w:b/>
        </w:rPr>
      </w:pPr>
      <w:r w:rsidRPr="003C3378">
        <w:rPr>
          <w:b/>
        </w:rPr>
        <w:t xml:space="preserve">MASTER 2 DROIT FISCAL </w:t>
      </w:r>
    </w:p>
    <w:p w:rsidR="00915B86" w:rsidRPr="003C3378" w:rsidRDefault="00915B86" w:rsidP="00915B86">
      <w:pPr>
        <w:rPr>
          <w:b/>
        </w:rPr>
      </w:pPr>
      <w:r w:rsidRPr="003C3378">
        <w:rPr>
          <w:b/>
        </w:rPr>
        <w:t>Année universitaire 2018/2019</w:t>
      </w:r>
    </w:p>
    <w:p w:rsidR="00915B86" w:rsidRPr="003C3378" w:rsidRDefault="00915B86" w:rsidP="00915B86">
      <w:pPr>
        <w:rPr>
          <w:b/>
        </w:rPr>
      </w:pPr>
      <w:r w:rsidRPr="003C3378">
        <w:rPr>
          <w:b/>
        </w:rPr>
        <w:tab/>
      </w:r>
    </w:p>
    <w:p w:rsidR="00915B86" w:rsidRPr="00B764F7" w:rsidRDefault="00915B86" w:rsidP="00915B86">
      <w:pPr>
        <w:rPr>
          <w:b/>
        </w:rPr>
      </w:pPr>
      <w:r w:rsidRPr="003C3378">
        <w:rPr>
          <w:b/>
        </w:rPr>
        <w:t>Cours de Mme S. BOUFELDJA</w:t>
      </w:r>
    </w:p>
    <w:p w:rsidR="00915B86" w:rsidRDefault="00915B86" w:rsidP="00915B86">
      <w:pPr>
        <w:spacing w:line="360" w:lineRule="auto"/>
        <w:rPr>
          <w:sz w:val="32"/>
          <w:u w:val="single"/>
        </w:rPr>
      </w:pPr>
    </w:p>
    <w:p w:rsidR="00AD1E20" w:rsidRPr="003C3378" w:rsidRDefault="00AD1E20" w:rsidP="00915B86">
      <w:pPr>
        <w:spacing w:line="360" w:lineRule="auto"/>
        <w:rPr>
          <w:sz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15B86" w:rsidRPr="003C3378" w:rsidTr="00434F2A">
        <w:tc>
          <w:tcPr>
            <w:tcW w:w="9056" w:type="dxa"/>
            <w:shd w:val="clear" w:color="auto" w:fill="D9D9D9" w:themeFill="background1" w:themeFillShade="D9"/>
          </w:tcPr>
          <w:p w:rsidR="00915B86" w:rsidRPr="003C3378" w:rsidRDefault="00915B86" w:rsidP="00434F2A"/>
          <w:p w:rsidR="00915B86" w:rsidRPr="003C3378" w:rsidRDefault="00915B86" w:rsidP="00434F2A">
            <w:pPr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TVA approfondie</w:t>
            </w:r>
          </w:p>
          <w:p w:rsidR="00915B86" w:rsidRPr="003C3378" w:rsidRDefault="00915B86" w:rsidP="00434F2A"/>
        </w:tc>
      </w:tr>
    </w:tbl>
    <w:p w:rsidR="00E55180" w:rsidRDefault="00AD1E20"/>
    <w:p w:rsidR="00915B86" w:rsidRDefault="00915B86" w:rsidP="00AF194F">
      <w:pPr>
        <w:spacing w:line="360" w:lineRule="auto"/>
        <w:contextualSpacing/>
      </w:pPr>
    </w:p>
    <w:p w:rsidR="00AD1E20" w:rsidRDefault="00AD1E20" w:rsidP="00AF194F">
      <w:pPr>
        <w:spacing w:line="360" w:lineRule="auto"/>
        <w:contextualSpacing/>
      </w:pPr>
    </w:p>
    <w:p w:rsidR="00AF194F" w:rsidRPr="00AF194F" w:rsidRDefault="00915B86" w:rsidP="00AF194F">
      <w:pPr>
        <w:spacing w:line="360" w:lineRule="auto"/>
        <w:contextualSpacing/>
        <w:rPr>
          <w:b/>
          <w:u w:val="single"/>
        </w:rPr>
      </w:pPr>
      <w:r w:rsidRPr="00AF194F">
        <w:rPr>
          <w:b/>
          <w:u w:val="single"/>
        </w:rPr>
        <w:t>Séance 1 – TVA sur les opérations financières et en capital</w:t>
      </w:r>
    </w:p>
    <w:p w:rsidR="00915B86" w:rsidRPr="00AF194F" w:rsidRDefault="00915B86" w:rsidP="00AF194F">
      <w:pPr>
        <w:spacing w:line="360" w:lineRule="auto"/>
        <w:ind w:firstLine="360"/>
        <w:contextualSpacing/>
        <w:jc w:val="both"/>
        <w:rPr>
          <w:u w:val="single"/>
        </w:rPr>
      </w:pPr>
      <w:r w:rsidRPr="00AF194F">
        <w:rPr>
          <w:u w:val="single"/>
        </w:rPr>
        <w:t>Introduction</w:t>
      </w:r>
    </w:p>
    <w:p w:rsidR="00915B86" w:rsidRPr="00AF194F" w:rsidRDefault="00915B86" w:rsidP="00AF194F">
      <w:pPr>
        <w:pStyle w:val="Paragraphedeliste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AF194F">
        <w:rPr>
          <w:u w:val="single"/>
        </w:rPr>
        <w:t>TVA sur les opérations sur titres et activité économique</w:t>
      </w:r>
    </w:p>
    <w:p w:rsidR="00915B86" w:rsidRPr="00AF194F" w:rsidRDefault="00915B86" w:rsidP="00AF194F">
      <w:pPr>
        <w:pStyle w:val="Paragraphedeliste"/>
        <w:numPr>
          <w:ilvl w:val="1"/>
          <w:numId w:val="1"/>
        </w:numPr>
        <w:spacing w:line="360" w:lineRule="auto"/>
        <w:jc w:val="both"/>
      </w:pPr>
      <w:r w:rsidRPr="00AF194F">
        <w:t>La notion d’activité économique</w:t>
      </w:r>
    </w:p>
    <w:p w:rsidR="00915B86" w:rsidRPr="00AF194F" w:rsidRDefault="00915B86" w:rsidP="00AF194F">
      <w:pPr>
        <w:pStyle w:val="Paragraphedeliste"/>
        <w:numPr>
          <w:ilvl w:val="1"/>
          <w:numId w:val="1"/>
        </w:numPr>
        <w:spacing w:line="360" w:lineRule="auto"/>
        <w:jc w:val="both"/>
        <w:rPr>
          <w:color w:val="000000"/>
        </w:rPr>
      </w:pPr>
      <w:r w:rsidRPr="00AF194F">
        <w:rPr>
          <w:color w:val="000000"/>
        </w:rPr>
        <w:t>L’immixtion dans la gestion de ses filiales</w:t>
      </w:r>
    </w:p>
    <w:p w:rsidR="00915B86" w:rsidRPr="00AF194F" w:rsidRDefault="00915B86" w:rsidP="00AF194F">
      <w:pPr>
        <w:pStyle w:val="Paragraphedeliste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AF194F">
        <w:rPr>
          <w:u w:val="single"/>
        </w:rPr>
        <w:t>Droit à déduction</w:t>
      </w:r>
    </w:p>
    <w:p w:rsidR="00915B86" w:rsidRPr="00AF194F" w:rsidRDefault="00915B86" w:rsidP="00AF194F">
      <w:pPr>
        <w:pStyle w:val="Paragraphedeliste"/>
        <w:numPr>
          <w:ilvl w:val="1"/>
          <w:numId w:val="1"/>
        </w:numPr>
        <w:spacing w:line="360" w:lineRule="auto"/>
        <w:jc w:val="both"/>
        <w:rPr>
          <w:color w:val="000000" w:themeColor="text1"/>
        </w:rPr>
      </w:pPr>
      <w:r w:rsidRPr="00AF194F">
        <w:rPr>
          <w:color w:val="000000" w:themeColor="text1"/>
        </w:rPr>
        <w:t>Propos préliminaires (rappel général de connaissances)</w:t>
      </w:r>
    </w:p>
    <w:p w:rsidR="00915B86" w:rsidRPr="00AF194F" w:rsidRDefault="00915B86" w:rsidP="00AF194F">
      <w:pPr>
        <w:pStyle w:val="Paragraphedeliste"/>
        <w:numPr>
          <w:ilvl w:val="1"/>
          <w:numId w:val="1"/>
        </w:numPr>
        <w:spacing w:line="360" w:lineRule="auto"/>
        <w:jc w:val="both"/>
        <w:rPr>
          <w:rStyle w:val="txt"/>
          <w:color w:val="000000" w:themeColor="text1"/>
          <w:bdr w:val="none" w:sz="0" w:space="0" w:color="auto" w:frame="1"/>
        </w:rPr>
      </w:pPr>
      <w:r w:rsidRPr="00AF194F">
        <w:rPr>
          <w:rStyle w:val="txt"/>
          <w:color w:val="000000" w:themeColor="text1"/>
          <w:bdr w:val="none" w:sz="0" w:space="0" w:color="auto" w:frame="1"/>
        </w:rPr>
        <w:t>Le lien direct et immédiat entre les biens et services et les opérations taxées</w:t>
      </w:r>
    </w:p>
    <w:p w:rsidR="00915B86" w:rsidRPr="00AF194F" w:rsidRDefault="00915B86" w:rsidP="00AF194F">
      <w:pPr>
        <w:pStyle w:val="Paragraphedeliste"/>
        <w:numPr>
          <w:ilvl w:val="1"/>
          <w:numId w:val="1"/>
        </w:numPr>
        <w:spacing w:line="360" w:lineRule="auto"/>
        <w:jc w:val="both"/>
      </w:pPr>
      <w:r w:rsidRPr="00AF194F">
        <w:t>Le rattachement aux frais généraux de l’entreprise</w:t>
      </w:r>
    </w:p>
    <w:p w:rsidR="00915B86" w:rsidRPr="00AF194F" w:rsidRDefault="00915B86" w:rsidP="00AF194F">
      <w:pPr>
        <w:spacing w:line="360" w:lineRule="auto"/>
        <w:contextualSpacing/>
      </w:pPr>
    </w:p>
    <w:p w:rsidR="00915B86" w:rsidRPr="00AF194F" w:rsidRDefault="00915B86" w:rsidP="00AF194F">
      <w:pPr>
        <w:spacing w:line="360" w:lineRule="auto"/>
        <w:contextualSpacing/>
        <w:rPr>
          <w:b/>
          <w:u w:val="single"/>
        </w:rPr>
      </w:pPr>
      <w:r w:rsidRPr="00AF194F">
        <w:rPr>
          <w:b/>
          <w:u w:val="single"/>
        </w:rPr>
        <w:t>Séance 2 – Territorialité de la TVA et prestation de service</w:t>
      </w:r>
    </w:p>
    <w:p w:rsidR="00AF194F" w:rsidRDefault="00AF194F" w:rsidP="00AF194F">
      <w:pPr>
        <w:spacing w:line="360" w:lineRule="auto"/>
        <w:ind w:firstLine="360"/>
        <w:contextualSpacing/>
        <w:rPr>
          <w:u w:val="single"/>
        </w:rPr>
      </w:pPr>
      <w:r w:rsidRPr="00AF194F">
        <w:rPr>
          <w:u w:val="single"/>
        </w:rPr>
        <w:t>Introduction</w:t>
      </w:r>
    </w:p>
    <w:p w:rsidR="00AF194F" w:rsidRDefault="00915B86" w:rsidP="00AF194F">
      <w:pPr>
        <w:pStyle w:val="Paragraphedeliste"/>
        <w:numPr>
          <w:ilvl w:val="0"/>
          <w:numId w:val="7"/>
        </w:numPr>
        <w:spacing w:line="360" w:lineRule="auto"/>
        <w:rPr>
          <w:u w:val="single"/>
        </w:rPr>
      </w:pPr>
      <w:r w:rsidRPr="00AF194F">
        <w:rPr>
          <w:u w:val="single"/>
        </w:rPr>
        <w:t>Territorialité des prestations de service et règles de localisation</w:t>
      </w:r>
    </w:p>
    <w:p w:rsidR="00915B86" w:rsidRPr="00AF194F" w:rsidRDefault="00915B86" w:rsidP="00AF194F">
      <w:pPr>
        <w:pStyle w:val="Paragraphedeliste"/>
        <w:numPr>
          <w:ilvl w:val="1"/>
          <w:numId w:val="4"/>
        </w:numPr>
        <w:spacing w:line="360" w:lineRule="auto"/>
        <w:rPr>
          <w:u w:val="single"/>
        </w:rPr>
      </w:pPr>
      <w:r w:rsidRPr="00AF194F">
        <w:t>Règles de droit commun </w:t>
      </w:r>
      <w:r w:rsidRPr="00AF194F">
        <w:rPr>
          <w:u w:val="single"/>
        </w:rPr>
        <w:t xml:space="preserve"> </w:t>
      </w:r>
    </w:p>
    <w:p w:rsidR="00AF194F" w:rsidRDefault="00AF194F" w:rsidP="00AF194F">
      <w:pPr>
        <w:pStyle w:val="Paragraphedeliste"/>
        <w:numPr>
          <w:ilvl w:val="2"/>
          <w:numId w:val="7"/>
        </w:numPr>
        <w:spacing w:line="360" w:lineRule="auto"/>
      </w:pPr>
      <w:r>
        <w:t>S</w:t>
      </w:r>
      <w:r w:rsidR="00915B86" w:rsidRPr="00AF194F">
        <w:t>elon la distinction B to B - B to C</w:t>
      </w:r>
    </w:p>
    <w:p w:rsidR="00AF194F" w:rsidRDefault="00915B86" w:rsidP="00AF194F">
      <w:pPr>
        <w:pStyle w:val="Paragraphedeliste"/>
        <w:numPr>
          <w:ilvl w:val="2"/>
          <w:numId w:val="7"/>
        </w:numPr>
        <w:spacing w:line="360" w:lineRule="auto"/>
      </w:pPr>
      <w:r w:rsidRPr="00AF194F">
        <w:t>Notion d’assujetti</w:t>
      </w:r>
    </w:p>
    <w:p w:rsidR="00915B86" w:rsidRPr="00AF194F" w:rsidRDefault="00915B86" w:rsidP="00AF194F">
      <w:pPr>
        <w:pStyle w:val="Paragraphedeliste"/>
        <w:numPr>
          <w:ilvl w:val="2"/>
          <w:numId w:val="7"/>
        </w:numPr>
        <w:spacing w:line="360" w:lineRule="auto"/>
      </w:pPr>
      <w:r w:rsidRPr="00AF194F">
        <w:t>Lieu d’établissement : siège de l’activité économique et établissement stable</w:t>
      </w:r>
    </w:p>
    <w:p w:rsidR="00AF194F" w:rsidRDefault="00915B86" w:rsidP="00AF194F">
      <w:pPr>
        <w:pStyle w:val="Paragraphedeliste"/>
        <w:numPr>
          <w:ilvl w:val="1"/>
          <w:numId w:val="7"/>
        </w:numPr>
        <w:spacing w:line="360" w:lineRule="auto"/>
        <w:jc w:val="both"/>
      </w:pPr>
      <w:r w:rsidRPr="00AF194F">
        <w:t>Dérogations tenant à la nature des prestations de service</w:t>
      </w:r>
      <w:r w:rsidR="00AF194F">
        <w:t> :</w:t>
      </w:r>
    </w:p>
    <w:p w:rsidR="00AF194F" w:rsidRDefault="00915B86" w:rsidP="00AF194F">
      <w:pPr>
        <w:pStyle w:val="Paragraphedeliste"/>
        <w:numPr>
          <w:ilvl w:val="2"/>
          <w:numId w:val="7"/>
        </w:numPr>
        <w:spacing w:line="360" w:lineRule="auto"/>
        <w:jc w:val="both"/>
      </w:pPr>
      <w:r w:rsidRPr="00AF194F">
        <w:t>Dérogations concernant les relations B to B</w:t>
      </w:r>
    </w:p>
    <w:p w:rsidR="00AF194F" w:rsidRDefault="00915B86" w:rsidP="00AF194F">
      <w:pPr>
        <w:pStyle w:val="Paragraphedeliste"/>
        <w:numPr>
          <w:ilvl w:val="2"/>
          <w:numId w:val="7"/>
        </w:numPr>
        <w:spacing w:line="360" w:lineRule="auto"/>
        <w:jc w:val="both"/>
      </w:pPr>
      <w:r w:rsidRPr="00AF194F">
        <w:t>Dérogations concernant les relations B to C</w:t>
      </w:r>
    </w:p>
    <w:p w:rsidR="00915B86" w:rsidRPr="00AF194F" w:rsidRDefault="00915B86" w:rsidP="00AF194F">
      <w:pPr>
        <w:pStyle w:val="Paragraphedeliste"/>
        <w:numPr>
          <w:ilvl w:val="2"/>
          <w:numId w:val="7"/>
        </w:numPr>
        <w:spacing w:line="360" w:lineRule="auto"/>
        <w:jc w:val="both"/>
      </w:pPr>
      <w:r w:rsidRPr="00AF194F">
        <w:t>Focus sur les services immatériels</w:t>
      </w:r>
    </w:p>
    <w:p w:rsidR="00915B86" w:rsidRPr="00AF194F" w:rsidRDefault="00915B86" w:rsidP="00AF194F">
      <w:pPr>
        <w:pStyle w:val="Paragraphedeliste"/>
        <w:numPr>
          <w:ilvl w:val="0"/>
          <w:numId w:val="7"/>
        </w:numPr>
        <w:spacing w:line="360" w:lineRule="auto"/>
        <w:rPr>
          <w:u w:val="single"/>
        </w:rPr>
      </w:pPr>
      <w:r w:rsidRPr="00AF194F">
        <w:rPr>
          <w:u w:val="single"/>
        </w:rPr>
        <w:t>Redevable</w:t>
      </w:r>
      <w:r w:rsidR="00AF194F" w:rsidRPr="00AF194F">
        <w:rPr>
          <w:u w:val="single"/>
        </w:rPr>
        <w:t xml:space="preserve"> et obligations déclaratives</w:t>
      </w:r>
    </w:p>
    <w:p w:rsidR="00AF194F" w:rsidRDefault="00AF194F" w:rsidP="00AF194F">
      <w:pPr>
        <w:pStyle w:val="Paragraphedeliste"/>
        <w:numPr>
          <w:ilvl w:val="1"/>
          <w:numId w:val="7"/>
        </w:numPr>
        <w:spacing w:line="360" w:lineRule="auto"/>
      </w:pPr>
      <w:r w:rsidRPr="00AF194F">
        <w:t>Principe quant au redevable</w:t>
      </w:r>
    </w:p>
    <w:p w:rsidR="00AF194F" w:rsidRDefault="00AF194F" w:rsidP="00AF194F">
      <w:pPr>
        <w:pStyle w:val="Paragraphedeliste"/>
        <w:numPr>
          <w:ilvl w:val="1"/>
          <w:numId w:val="7"/>
        </w:numPr>
        <w:spacing w:line="360" w:lineRule="auto"/>
      </w:pPr>
      <w:r w:rsidRPr="00AF194F">
        <w:lastRenderedPageBreak/>
        <w:t>Cas de l’</w:t>
      </w:r>
      <w:proofErr w:type="spellStart"/>
      <w:r w:rsidRPr="00AF194F">
        <w:t>autoliquidation</w:t>
      </w:r>
      <w:proofErr w:type="spellEnd"/>
      <w:r w:rsidRPr="00AF194F">
        <w:t xml:space="preserve"> </w:t>
      </w:r>
    </w:p>
    <w:p w:rsidR="00AF194F" w:rsidRDefault="00AF194F" w:rsidP="00AF194F">
      <w:pPr>
        <w:pStyle w:val="Paragraphedeliste"/>
        <w:numPr>
          <w:ilvl w:val="1"/>
          <w:numId w:val="7"/>
        </w:numPr>
        <w:spacing w:line="360" w:lineRule="auto"/>
      </w:pPr>
      <w:r w:rsidRPr="00AF194F">
        <w:t>Déclaration européenne de services (DES)</w:t>
      </w:r>
    </w:p>
    <w:p w:rsidR="00915B86" w:rsidRPr="00AF194F" w:rsidRDefault="00AF194F" w:rsidP="00AF194F">
      <w:pPr>
        <w:pStyle w:val="Paragraphedeliste"/>
        <w:numPr>
          <w:ilvl w:val="1"/>
          <w:numId w:val="7"/>
        </w:numPr>
        <w:spacing w:line="360" w:lineRule="auto"/>
      </w:pPr>
      <w:r w:rsidRPr="00AF194F">
        <w:t>Mini guiche unique (MOSS)</w:t>
      </w:r>
    </w:p>
    <w:p w:rsidR="00AD1E20" w:rsidRDefault="00AD1E20" w:rsidP="00AD1E20">
      <w:pPr>
        <w:jc w:val="both"/>
      </w:pPr>
    </w:p>
    <w:p w:rsidR="00AD1E20" w:rsidRPr="00AD1E20" w:rsidRDefault="00AF194F" w:rsidP="00AD1E20">
      <w:pPr>
        <w:spacing w:line="360" w:lineRule="auto"/>
        <w:jc w:val="both"/>
        <w:rPr>
          <w:b/>
          <w:u w:val="single"/>
        </w:rPr>
      </w:pPr>
      <w:r w:rsidRPr="00AD1E20">
        <w:rPr>
          <w:b/>
          <w:u w:val="single"/>
        </w:rPr>
        <w:t xml:space="preserve">Séance 3 – Les </w:t>
      </w:r>
      <w:r w:rsidR="00AD1E20">
        <w:rPr>
          <w:b/>
          <w:u w:val="single"/>
        </w:rPr>
        <w:t>as</w:t>
      </w:r>
      <w:bookmarkStart w:id="0" w:name="_GoBack"/>
      <w:bookmarkEnd w:id="0"/>
      <w:r w:rsidR="00AD1E20" w:rsidRPr="00AD1E20">
        <w:rPr>
          <w:b/>
          <w:u w:val="single"/>
        </w:rPr>
        <w:t>pects procéduraux des contrôles fiscaux en matière de TVA</w:t>
      </w:r>
    </w:p>
    <w:p w:rsidR="00AD1E20" w:rsidRPr="00AD1E20" w:rsidRDefault="00AD1E20" w:rsidP="00AD1E20">
      <w:pPr>
        <w:pStyle w:val="Paragraphedeliste"/>
        <w:numPr>
          <w:ilvl w:val="0"/>
          <w:numId w:val="12"/>
        </w:numPr>
        <w:spacing w:line="360" w:lineRule="auto"/>
        <w:jc w:val="both"/>
        <w:rPr>
          <w:u w:val="single"/>
        </w:rPr>
      </w:pPr>
      <w:r w:rsidRPr="00AD1E20">
        <w:rPr>
          <w:u w:val="single"/>
        </w:rPr>
        <w:t>La déduction en cascade</w:t>
      </w:r>
    </w:p>
    <w:p w:rsidR="00AD1E20" w:rsidRDefault="00AD1E20" w:rsidP="00AD1E20">
      <w:pPr>
        <w:pStyle w:val="Paragraphedeliste"/>
        <w:numPr>
          <w:ilvl w:val="1"/>
          <w:numId w:val="12"/>
        </w:numPr>
        <w:spacing w:line="360" w:lineRule="auto"/>
        <w:jc w:val="both"/>
      </w:pPr>
      <w:r>
        <w:t xml:space="preserve">Champ d’application </w:t>
      </w:r>
    </w:p>
    <w:p w:rsidR="00AD1E20" w:rsidRDefault="00AD1E20" w:rsidP="00AD1E20">
      <w:pPr>
        <w:pStyle w:val="Paragraphedeliste"/>
        <w:numPr>
          <w:ilvl w:val="1"/>
          <w:numId w:val="12"/>
        </w:numPr>
        <w:spacing w:line="360" w:lineRule="auto"/>
        <w:jc w:val="both"/>
      </w:pPr>
      <w:r>
        <w:t>Modalité de l’imputation des suppléments de TVA</w:t>
      </w:r>
    </w:p>
    <w:p w:rsidR="00AD1E20" w:rsidRPr="00AD1E20" w:rsidRDefault="00AD1E20" w:rsidP="00AD1E20">
      <w:pPr>
        <w:pStyle w:val="Paragraphedeliste"/>
        <w:numPr>
          <w:ilvl w:val="0"/>
          <w:numId w:val="12"/>
        </w:numPr>
        <w:spacing w:line="360" w:lineRule="auto"/>
        <w:jc w:val="both"/>
        <w:rPr>
          <w:u w:val="single"/>
        </w:rPr>
      </w:pPr>
      <w:r w:rsidRPr="00AD1E20">
        <w:rPr>
          <w:u w:val="single"/>
        </w:rPr>
        <w:t>Le profit sur le trésor</w:t>
      </w:r>
    </w:p>
    <w:p w:rsidR="00AF194F" w:rsidRDefault="00AF194F" w:rsidP="00AF194F">
      <w:pPr>
        <w:spacing w:line="360" w:lineRule="auto"/>
        <w:contextualSpacing/>
      </w:pPr>
    </w:p>
    <w:sectPr w:rsidR="00AF194F" w:rsidSect="00596F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1D77"/>
    <w:multiLevelType w:val="hybridMultilevel"/>
    <w:tmpl w:val="4A4A71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AE4"/>
    <w:multiLevelType w:val="hybridMultilevel"/>
    <w:tmpl w:val="BA68A2EA"/>
    <w:lvl w:ilvl="0" w:tplc="7C5E9E76">
      <w:start w:val="1"/>
      <w:numFmt w:val="upperRoman"/>
      <w:lvlText w:val="%1."/>
      <w:lvlJc w:val="left"/>
      <w:pPr>
        <w:ind w:left="720" w:hanging="720"/>
      </w:pPr>
      <w:rPr>
        <w:rFonts w:ascii="Garamond" w:eastAsiaTheme="minorHAnsi" w:hAnsi="Garamond" w:cstheme="minorBid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C21BB"/>
    <w:multiLevelType w:val="multilevel"/>
    <w:tmpl w:val="3E98A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" w15:restartNumberingAfterBreak="0">
    <w:nsid w:val="22803F18"/>
    <w:multiLevelType w:val="multilevel"/>
    <w:tmpl w:val="1D78D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6C3BCD"/>
    <w:multiLevelType w:val="multilevel"/>
    <w:tmpl w:val="C6B6AE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C850BE"/>
    <w:multiLevelType w:val="multilevel"/>
    <w:tmpl w:val="8FCA99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F23BE"/>
    <w:multiLevelType w:val="multilevel"/>
    <w:tmpl w:val="CB762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C50267"/>
    <w:multiLevelType w:val="multilevel"/>
    <w:tmpl w:val="642ED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7E2B6A"/>
    <w:multiLevelType w:val="hybridMultilevel"/>
    <w:tmpl w:val="94EC8A1A"/>
    <w:lvl w:ilvl="0" w:tplc="A2B8D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D0EBE"/>
    <w:multiLevelType w:val="multilevel"/>
    <w:tmpl w:val="674E91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3100F7"/>
    <w:multiLevelType w:val="hybridMultilevel"/>
    <w:tmpl w:val="274870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7A7"/>
    <w:multiLevelType w:val="multilevel"/>
    <w:tmpl w:val="2342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86"/>
    <w:rsid w:val="00512493"/>
    <w:rsid w:val="00596F95"/>
    <w:rsid w:val="00915B86"/>
    <w:rsid w:val="00A378E1"/>
    <w:rsid w:val="00AD1E20"/>
    <w:rsid w:val="00AF194F"/>
    <w:rsid w:val="00B0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F304"/>
  <w14:defaultImageDpi w14:val="32767"/>
  <w15:chartTrackingRefBased/>
  <w15:docId w15:val="{997A3BB3-F848-CB40-B3BD-1B7F566B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B8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B062C9"/>
    <w:rPr>
      <w:sz w:val="4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062C9"/>
    <w:rPr>
      <w:rFonts w:ascii="Times New Roman" w:hAnsi="Times New Roman" w:cs="Times New Roman"/>
      <w:sz w:val="40"/>
      <w:lang w:eastAsia="fr-FR"/>
    </w:rPr>
  </w:style>
  <w:style w:type="paragraph" w:customStyle="1" w:styleId="Style1">
    <w:name w:val="Style1"/>
    <w:basedOn w:val="Normal"/>
    <w:qFormat/>
    <w:rsid w:val="00B062C9"/>
    <w:pPr>
      <w:spacing w:line="360" w:lineRule="auto"/>
      <w:jc w:val="both"/>
    </w:pPr>
    <w:rPr>
      <w:b/>
      <w:sz w:val="40"/>
    </w:rPr>
  </w:style>
  <w:style w:type="paragraph" w:customStyle="1" w:styleId="REMERCIEMENTS">
    <w:name w:val="REMERCIEMENTS"/>
    <w:basedOn w:val="Normal"/>
    <w:autoRedefine/>
    <w:qFormat/>
    <w:rsid w:val="00B062C9"/>
    <w:pPr>
      <w:jc w:val="center"/>
    </w:pPr>
    <w:rPr>
      <w:b/>
      <w:sz w:val="40"/>
    </w:rPr>
  </w:style>
  <w:style w:type="paragraph" w:styleId="TM1">
    <w:name w:val="toc 1"/>
    <w:aliases w:val="RR"/>
    <w:basedOn w:val="Normal"/>
    <w:next w:val="Normal"/>
    <w:autoRedefine/>
    <w:uiPriority w:val="39"/>
    <w:unhideWhenUsed/>
    <w:qFormat/>
    <w:rsid w:val="00B062C9"/>
    <w:pPr>
      <w:spacing w:before="120"/>
    </w:pPr>
    <w:rPr>
      <w:b/>
      <w:bCs/>
      <w:sz w:val="40"/>
    </w:rPr>
  </w:style>
  <w:style w:type="paragraph" w:customStyle="1" w:styleId="Section">
    <w:name w:val="Section"/>
    <w:basedOn w:val="Normal"/>
    <w:qFormat/>
    <w:rsid w:val="00B062C9"/>
    <w:pPr>
      <w:spacing w:line="360" w:lineRule="auto"/>
    </w:pPr>
    <w:rPr>
      <w:b/>
      <w:sz w:val="32"/>
    </w:rPr>
  </w:style>
  <w:style w:type="paragraph" w:customStyle="1" w:styleId="PARTIE">
    <w:name w:val="PARTIE"/>
    <w:basedOn w:val="REMERCIEMENTS"/>
    <w:qFormat/>
    <w:rsid w:val="00512493"/>
    <w:pPr>
      <w:spacing w:line="360" w:lineRule="auto"/>
      <w:jc w:val="both"/>
    </w:pPr>
    <w:rPr>
      <w:u w:val="single"/>
    </w:rPr>
  </w:style>
  <w:style w:type="paragraph" w:customStyle="1" w:styleId="CHAPITRE">
    <w:name w:val="CHAPITRE"/>
    <w:basedOn w:val="Normal"/>
    <w:qFormat/>
    <w:rsid w:val="00512493"/>
    <w:pPr>
      <w:tabs>
        <w:tab w:val="left" w:pos="709"/>
      </w:tabs>
      <w:spacing w:line="360" w:lineRule="auto"/>
      <w:jc w:val="both"/>
    </w:pPr>
    <w:rPr>
      <w:b/>
      <w:color w:val="000000" w:themeColor="text1"/>
      <w:sz w:val="36"/>
      <w:u w:val="single"/>
    </w:rPr>
  </w:style>
  <w:style w:type="paragraph" w:customStyle="1" w:styleId="Sousparagraphe">
    <w:name w:val="Sous paragraphe"/>
    <w:basedOn w:val="Normal"/>
    <w:qFormat/>
    <w:rsid w:val="00512493"/>
    <w:pPr>
      <w:spacing w:line="360" w:lineRule="auto"/>
    </w:pPr>
    <w:rPr>
      <w:b/>
      <w:i/>
    </w:rPr>
  </w:style>
  <w:style w:type="paragraph" w:customStyle="1" w:styleId="sous-sous-sousparagraphe">
    <w:name w:val="sous-sous-sous paragraphe"/>
    <w:basedOn w:val="Normal"/>
    <w:qFormat/>
    <w:rsid w:val="00512493"/>
    <w:pPr>
      <w:spacing w:line="360" w:lineRule="auto"/>
      <w:jc w:val="both"/>
    </w:pPr>
    <w:rPr>
      <w:i/>
    </w:rPr>
  </w:style>
  <w:style w:type="table" w:styleId="Grilledutableau">
    <w:name w:val="Table Grid"/>
    <w:basedOn w:val="TableauNormal"/>
    <w:uiPriority w:val="39"/>
    <w:rsid w:val="0091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5B86"/>
    <w:pPr>
      <w:ind w:left="720"/>
      <w:contextualSpacing/>
    </w:pPr>
  </w:style>
  <w:style w:type="character" w:customStyle="1" w:styleId="txt">
    <w:name w:val="txt"/>
    <w:basedOn w:val="Policepardfaut"/>
    <w:rsid w:val="009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Boufeldja</dc:creator>
  <cp:keywords/>
  <dc:description/>
  <cp:lastModifiedBy>Sonia Boufeldja</cp:lastModifiedBy>
  <cp:revision>1</cp:revision>
  <dcterms:created xsi:type="dcterms:W3CDTF">2019-03-03T18:39:00Z</dcterms:created>
  <dcterms:modified xsi:type="dcterms:W3CDTF">2019-03-03T19:04:00Z</dcterms:modified>
</cp:coreProperties>
</file>