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33312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3B225D">
        <w:rPr>
          <w:color w:val="000000"/>
        </w:rPr>
        <w:t>Université Jean Moulin - Lyon 3</w:t>
      </w:r>
    </w:p>
    <w:p w14:paraId="383AF316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3B225D">
        <w:rPr>
          <w:color w:val="000000"/>
        </w:rPr>
        <w:t xml:space="preserve">Faculté de droit – Cours commun aux M1 </w:t>
      </w:r>
      <w:r w:rsidR="00D53D8B">
        <w:rPr>
          <w:color w:val="000000"/>
        </w:rPr>
        <w:t>D</w:t>
      </w:r>
      <w:r w:rsidRPr="003B225D">
        <w:rPr>
          <w:color w:val="000000"/>
        </w:rPr>
        <w:t>roit de l’entreprise</w:t>
      </w:r>
      <w:r w:rsidR="00D53D8B">
        <w:rPr>
          <w:color w:val="000000"/>
        </w:rPr>
        <w:t xml:space="preserve"> et Droit social</w:t>
      </w:r>
    </w:p>
    <w:p w14:paraId="488C59A6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color w:val="000000"/>
        </w:rPr>
      </w:pPr>
    </w:p>
    <w:p w14:paraId="4B581A2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color w:val="000000"/>
        </w:rPr>
      </w:pPr>
      <w:r w:rsidRPr="003B225D">
        <w:rPr>
          <w:i/>
          <w:color w:val="000000"/>
        </w:rPr>
        <w:t xml:space="preserve">Cours de droit des assurances de Mme S. ABRAVANEL-JOLLY </w:t>
      </w:r>
    </w:p>
    <w:p w14:paraId="0DF05D1B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color w:val="000000"/>
        </w:rPr>
      </w:pPr>
      <w:r w:rsidRPr="003B225D">
        <w:rPr>
          <w:i/>
          <w:color w:val="000000"/>
        </w:rPr>
        <w:t>MCF - HDR à l’Université Lyon 3, Vice-présidente de la Section de droit privé,</w:t>
      </w:r>
    </w:p>
    <w:p w14:paraId="59308FDA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color w:val="000000"/>
        </w:rPr>
      </w:pPr>
      <w:r w:rsidRPr="003B225D">
        <w:rPr>
          <w:i/>
          <w:color w:val="000000"/>
        </w:rPr>
        <w:t>Ancienne directrice de l’Institut des Assurances de Lyon,</w:t>
      </w:r>
    </w:p>
    <w:p w14:paraId="370B7D21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ECC3A26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B225D">
        <w:t>Co-fondatrice d</w:t>
      </w:r>
      <w:r w:rsidRPr="003B225D">
        <w:t xml:space="preserve">u </w:t>
      </w:r>
      <w:r w:rsidRPr="003B225D">
        <w:rPr>
          <w:rStyle w:val="Lienhypertexte"/>
          <w:color w:val="auto"/>
          <w:u w:val="none"/>
        </w:rPr>
        <w:t>Bulletin Juridique Des Assurances</w:t>
      </w:r>
      <w:r w:rsidRPr="003B225D">
        <w:rPr>
          <w:rStyle w:val="Lienhypertexte"/>
          <w:color w:val="auto"/>
          <w:u w:val="none"/>
        </w:rPr>
        <w:t> :</w:t>
      </w:r>
      <w:r w:rsidRPr="003B225D">
        <w:rPr>
          <w:rStyle w:val="Lienhypertexte"/>
        </w:rPr>
        <w:t xml:space="preserve"> </w:t>
      </w:r>
      <w:hyperlink r:id="rId6" w:history="1">
        <w:r w:rsidRPr="003B225D">
          <w:rPr>
            <w:rStyle w:val="Lienhypertexte"/>
          </w:rPr>
          <w:t>https://bjda.fr</w:t>
        </w:r>
      </w:hyperlink>
    </w:p>
    <w:p w14:paraId="0BDF9182" w14:textId="77777777" w:rsid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  <w:sz w:val="28"/>
          <w:szCs w:val="28"/>
        </w:rPr>
      </w:pPr>
    </w:p>
    <w:p w14:paraId="1ADDE991" w14:textId="77777777" w:rsid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z w:val="28"/>
          <w:szCs w:val="28"/>
        </w:rPr>
      </w:pPr>
      <w:bookmarkStart w:id="0" w:name="_GoBack"/>
      <w:bookmarkEnd w:id="0"/>
    </w:p>
    <w:p w14:paraId="4E562223" w14:textId="77777777" w:rsid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z w:val="28"/>
          <w:szCs w:val="28"/>
        </w:rPr>
      </w:pPr>
    </w:p>
    <w:p w14:paraId="596876F9" w14:textId="77777777" w:rsid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z w:val="28"/>
          <w:szCs w:val="28"/>
        </w:rPr>
      </w:pPr>
    </w:p>
    <w:p w14:paraId="17A91BA1" w14:textId="77777777" w:rsid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PLAN </w:t>
      </w:r>
    </w:p>
    <w:p w14:paraId="4D95BBEA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Cours de droit des assurances</w:t>
      </w:r>
    </w:p>
    <w:p w14:paraId="0456E457" w14:textId="77777777" w:rsid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  <w:sz w:val="39"/>
          <w:szCs w:val="39"/>
        </w:rPr>
      </w:pPr>
    </w:p>
    <w:p w14:paraId="14829967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</w:rPr>
      </w:pPr>
      <w:r w:rsidRPr="003B225D">
        <w:rPr>
          <w:rFonts w:ascii="Garamond" w:hAnsi="Garamond"/>
          <w:color w:val="000000"/>
        </w:rPr>
        <w:t>Introduction : Généralités sur l’assurance</w:t>
      </w:r>
    </w:p>
    <w:p w14:paraId="7143B5F1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1 : l’opération d’assurance et le contrat d’assurance</w:t>
      </w:r>
    </w:p>
    <w:p w14:paraId="4DA7E13A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</w:p>
    <w:p w14:paraId="3C783F85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 xml:space="preserve">§ 2 : la classification des assurances </w:t>
      </w:r>
    </w:p>
    <w:p w14:paraId="6C2995CC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</w:p>
    <w:p w14:paraId="1264B410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 xml:space="preserve">§ 3 : les sources des assurances </w:t>
      </w:r>
    </w:p>
    <w:p w14:paraId="3C5C9484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</w:p>
    <w:p w14:paraId="46BA6977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 xml:space="preserve">§ 4 : les spécificités du droit des assurances </w:t>
      </w:r>
    </w:p>
    <w:p w14:paraId="786CC814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</w:p>
    <w:p w14:paraId="00449CE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 xml:space="preserve">§ 5 : les intervenants à la relation d’assurance </w:t>
      </w:r>
    </w:p>
    <w:p w14:paraId="63442AA6" w14:textId="77777777" w:rsidR="003B225D" w:rsidRPr="003B225D" w:rsidRDefault="003B225D" w:rsidP="003B225D">
      <w:pPr>
        <w:rPr>
          <w:rFonts w:ascii="Garamond" w:hAnsi="Garamond"/>
          <w:b/>
          <w:i/>
        </w:rPr>
      </w:pPr>
    </w:p>
    <w:p w14:paraId="49250F40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  <w:b/>
          <w:i/>
        </w:rPr>
        <w:t>§ 6 : une variété des schémas des assurances</w:t>
      </w:r>
    </w:p>
    <w:p w14:paraId="2DC6F686" w14:textId="77777777" w:rsidR="003B225D" w:rsidRPr="003B225D" w:rsidRDefault="003B225D" w:rsidP="003B225D">
      <w:pPr>
        <w:rPr>
          <w:rFonts w:ascii="Garamond" w:hAnsi="Garamond"/>
        </w:rPr>
      </w:pPr>
    </w:p>
    <w:p w14:paraId="44EC3837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</w:p>
    <w:p w14:paraId="35355F09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B225D">
        <w:rPr>
          <w:rFonts w:ascii="Garamond" w:hAnsi="Garamond"/>
          <w:b/>
          <w:bCs/>
          <w:color w:val="000000"/>
        </w:rPr>
        <w:t>1</w:t>
      </w:r>
      <w:r w:rsidRPr="003B225D">
        <w:rPr>
          <w:rFonts w:ascii="Garamond" w:hAnsi="Garamond"/>
          <w:b/>
          <w:bCs/>
          <w:color w:val="000000"/>
          <w:vertAlign w:val="superscript"/>
        </w:rPr>
        <w:t>ère</w:t>
      </w:r>
      <w:r w:rsidRPr="003B225D">
        <w:rPr>
          <w:rFonts w:ascii="Garamond" w:hAnsi="Garamond"/>
          <w:b/>
          <w:bCs/>
          <w:color w:val="000000"/>
        </w:rPr>
        <w:t xml:space="preserve"> Partie : le droit commun du contrat d’assurance</w:t>
      </w:r>
    </w:p>
    <w:p w14:paraId="5B8BB9EE" w14:textId="77777777" w:rsidR="003B225D" w:rsidRPr="003B225D" w:rsidRDefault="003B225D" w:rsidP="003B225D">
      <w:pPr>
        <w:rPr>
          <w:rFonts w:ascii="Garamond" w:hAnsi="Garamond"/>
        </w:rPr>
      </w:pPr>
    </w:p>
    <w:p w14:paraId="1A68BB40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B225D">
        <w:rPr>
          <w:rFonts w:ascii="Garamond" w:hAnsi="Garamond"/>
          <w:b/>
          <w:bCs/>
          <w:color w:val="000000"/>
        </w:rPr>
        <w:t>Titre 1 : vie du contrat</w:t>
      </w:r>
    </w:p>
    <w:p w14:paraId="3EE44D4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14:paraId="5775A47D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B225D">
        <w:rPr>
          <w:rFonts w:ascii="Garamond" w:hAnsi="Garamond"/>
          <w:b/>
          <w:bCs/>
          <w:color w:val="000000"/>
        </w:rPr>
        <w:t>Chapitre 1 : phase de formation du contrat</w:t>
      </w:r>
    </w:p>
    <w:p w14:paraId="57342760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</w:p>
    <w:p w14:paraId="06D77129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color w:val="000000"/>
        </w:rPr>
        <w:t>Section 1 : Période précontractuelle</w:t>
      </w:r>
    </w:p>
    <w:p w14:paraId="121CD8DC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1 : information précontractuelle due par l’assureur</w:t>
      </w:r>
    </w:p>
    <w:p w14:paraId="77B834C7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information due lors de la souscription des contrats « </w:t>
      </w:r>
      <w:r w:rsidRPr="003B225D">
        <w:rPr>
          <w:rFonts w:ascii="Garamond" w:hAnsi="Garamond"/>
          <w:i/>
        </w:rPr>
        <w:t>papiers </w:t>
      </w:r>
      <w:r w:rsidRPr="003B225D">
        <w:rPr>
          <w:rFonts w:ascii="Garamond" w:hAnsi="Garamond"/>
        </w:rPr>
        <w:t>»</w:t>
      </w:r>
    </w:p>
    <w:p w14:paraId="70CDB3B8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B) information due lors de la souscription des contrats en ligne</w:t>
      </w:r>
    </w:p>
    <w:p w14:paraId="1E749CBF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</w:rPr>
      </w:pPr>
    </w:p>
    <w:p w14:paraId="7AAE0B72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2 : information précontractuelle due par le souscripteur</w:t>
      </w:r>
    </w:p>
    <w:p w14:paraId="01FA203C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forme de la déclaration : la proposition d’assurance</w:t>
      </w:r>
    </w:p>
    <w:p w14:paraId="73B34F2C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B) étendue de la déclaration</w:t>
      </w:r>
    </w:p>
    <w:p w14:paraId="40F13FBA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</w:rPr>
      </w:pPr>
    </w:p>
    <w:p w14:paraId="02268CFA" w14:textId="77777777" w:rsidR="003B225D" w:rsidRPr="003B225D" w:rsidRDefault="003B225D" w:rsidP="003B225D">
      <w:pPr>
        <w:rPr>
          <w:rFonts w:ascii="Garamond" w:hAnsi="Garamond"/>
          <w:b/>
          <w:bCs/>
        </w:rPr>
      </w:pPr>
      <w:r w:rsidRPr="003B225D">
        <w:rPr>
          <w:rFonts w:ascii="Garamond" w:hAnsi="Garamond"/>
          <w:b/>
          <w:bCs/>
        </w:rPr>
        <w:t>Section 2 : la conclusion du contrat</w:t>
      </w:r>
    </w:p>
    <w:p w14:paraId="1BFB1476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1 : le consentement des parties</w:t>
      </w:r>
    </w:p>
    <w:p w14:paraId="0A4CAAD8" w14:textId="77777777" w:rsidR="003B225D" w:rsidRPr="003B225D" w:rsidRDefault="003B225D" w:rsidP="003B225D">
      <w:pPr>
        <w:pStyle w:val="Titre9"/>
        <w:spacing w:before="0"/>
        <w:rPr>
          <w:rFonts w:ascii="Garamond" w:eastAsia="Arial Unicode MS" w:hAnsi="Garamond"/>
          <w:i w:val="0"/>
          <w:sz w:val="24"/>
          <w:szCs w:val="24"/>
        </w:rPr>
      </w:pPr>
      <w:r w:rsidRPr="003B225D">
        <w:rPr>
          <w:rFonts w:ascii="Garamond" w:eastAsia="Arial Unicode MS" w:hAnsi="Garamond"/>
          <w:i w:val="0"/>
          <w:sz w:val="24"/>
          <w:szCs w:val="24"/>
        </w:rPr>
        <w:t>A) le contrat d’assurance régi par le principe du consensualisme</w:t>
      </w:r>
    </w:p>
    <w:p w14:paraId="3A42DEE2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eastAsia="Arial Unicode MS" w:hAnsi="Garamond"/>
        </w:rPr>
        <w:t>B) absence de formalisme</w:t>
      </w:r>
    </w:p>
    <w:p w14:paraId="326D69B5" w14:textId="77777777" w:rsidR="003B225D" w:rsidRPr="003B225D" w:rsidRDefault="003B225D" w:rsidP="003B225D">
      <w:pPr>
        <w:rPr>
          <w:rFonts w:ascii="Garamond" w:hAnsi="Garamond"/>
          <w:b/>
          <w:bCs/>
        </w:rPr>
      </w:pPr>
    </w:p>
    <w:p w14:paraId="2A7D03EC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2 : prise d’effet du contrat</w:t>
      </w:r>
    </w:p>
    <w:p w14:paraId="190C2CEF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lastRenderedPageBreak/>
        <w:t>A) principe</w:t>
      </w:r>
    </w:p>
    <w:p w14:paraId="03248925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B) les clauses de prise d’effet</w:t>
      </w:r>
    </w:p>
    <w:p w14:paraId="2BAE0C63" w14:textId="77777777" w:rsidR="003B225D" w:rsidRPr="003B225D" w:rsidRDefault="003B225D" w:rsidP="003B225D">
      <w:pPr>
        <w:rPr>
          <w:rFonts w:ascii="Garamond" w:hAnsi="Garamond"/>
          <w:bCs/>
        </w:rPr>
      </w:pPr>
    </w:p>
    <w:p w14:paraId="4F1DF16E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3B225D">
        <w:rPr>
          <w:rFonts w:ascii="Garamond" w:hAnsi="Garamond"/>
          <w:b/>
          <w:bCs/>
        </w:rPr>
        <w:t>Section 3 : les documents contractuels</w:t>
      </w:r>
    </w:p>
    <w:p w14:paraId="4AC3F408" w14:textId="77777777" w:rsidR="003B225D" w:rsidRPr="003B225D" w:rsidRDefault="003B225D" w:rsidP="003B225D">
      <w:pPr>
        <w:rPr>
          <w:rFonts w:ascii="Garamond" w:hAnsi="Garamond"/>
          <w:b/>
          <w:bCs/>
          <w:i/>
        </w:rPr>
      </w:pPr>
      <w:r w:rsidRPr="003B225D">
        <w:rPr>
          <w:rFonts w:ascii="Garamond" w:hAnsi="Garamond"/>
          <w:b/>
          <w:bCs/>
          <w:i/>
        </w:rPr>
        <w:t>§ 1 : la police d’assurance</w:t>
      </w:r>
    </w:p>
    <w:p w14:paraId="5A75C666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composition de la police</w:t>
      </w:r>
    </w:p>
    <w:p w14:paraId="73491BAE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B) mentions obligatoires</w:t>
      </w:r>
    </w:p>
    <w:p w14:paraId="56B7E03D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C) conditions de forme</w:t>
      </w:r>
    </w:p>
    <w:p w14:paraId="67227214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D) interprétation des clauses de la police</w:t>
      </w:r>
    </w:p>
    <w:p w14:paraId="2F7F5504" w14:textId="77777777" w:rsidR="003B225D" w:rsidRPr="003B225D" w:rsidRDefault="003B225D" w:rsidP="003B225D">
      <w:pPr>
        <w:rPr>
          <w:rFonts w:ascii="Garamond" w:hAnsi="Garamond"/>
          <w:bCs/>
        </w:rPr>
      </w:pPr>
    </w:p>
    <w:p w14:paraId="42ED3592" w14:textId="77777777" w:rsidR="003B225D" w:rsidRPr="003B225D" w:rsidRDefault="003B225D" w:rsidP="003B225D">
      <w:pPr>
        <w:rPr>
          <w:rFonts w:ascii="Garamond" w:hAnsi="Garamond"/>
          <w:b/>
          <w:bCs/>
          <w:i/>
        </w:rPr>
      </w:pPr>
      <w:r w:rsidRPr="003B225D">
        <w:rPr>
          <w:rFonts w:ascii="Garamond" w:hAnsi="Garamond"/>
          <w:b/>
          <w:bCs/>
          <w:i/>
        </w:rPr>
        <w:t>§ 2 : la note de couverture</w:t>
      </w:r>
    </w:p>
    <w:p w14:paraId="212D07F2" w14:textId="77777777" w:rsidR="003B225D" w:rsidRPr="003B225D" w:rsidRDefault="003B225D" w:rsidP="003B225D">
      <w:pPr>
        <w:rPr>
          <w:rFonts w:ascii="Garamond" w:hAnsi="Garamond"/>
          <w:bCs/>
        </w:rPr>
      </w:pPr>
      <w:r w:rsidRPr="003B225D">
        <w:rPr>
          <w:rFonts w:ascii="Garamond" w:hAnsi="Garamond"/>
          <w:bCs/>
        </w:rPr>
        <w:t>A) définition</w:t>
      </w:r>
    </w:p>
    <w:p w14:paraId="57968396" w14:textId="77777777" w:rsidR="003B225D" w:rsidRPr="003B225D" w:rsidRDefault="003B225D" w:rsidP="003B225D">
      <w:pPr>
        <w:rPr>
          <w:rFonts w:ascii="Garamond" w:hAnsi="Garamond"/>
          <w:bCs/>
        </w:rPr>
      </w:pPr>
      <w:r w:rsidRPr="003B225D">
        <w:rPr>
          <w:rFonts w:ascii="Garamond" w:hAnsi="Garamond"/>
          <w:bCs/>
        </w:rPr>
        <w:t>B) validité</w:t>
      </w:r>
    </w:p>
    <w:p w14:paraId="444305EE" w14:textId="77777777" w:rsidR="003B225D" w:rsidRPr="003B225D" w:rsidRDefault="003B225D" w:rsidP="003B225D">
      <w:pPr>
        <w:pStyle w:val="annot"/>
        <w:spacing w:before="0"/>
        <w:rPr>
          <w:rFonts w:ascii="Garamond" w:hAnsi="Garamond"/>
          <w:sz w:val="24"/>
          <w:szCs w:val="24"/>
        </w:rPr>
      </w:pPr>
      <w:r w:rsidRPr="003B225D">
        <w:rPr>
          <w:rFonts w:ascii="Garamond" w:hAnsi="Garamond"/>
          <w:sz w:val="24"/>
          <w:szCs w:val="24"/>
        </w:rPr>
        <w:t xml:space="preserve">C) effets </w:t>
      </w:r>
    </w:p>
    <w:p w14:paraId="5A475FA4" w14:textId="77777777" w:rsidR="003B225D" w:rsidRPr="003B225D" w:rsidRDefault="003B225D" w:rsidP="003B225D">
      <w:pPr>
        <w:jc w:val="center"/>
        <w:rPr>
          <w:rFonts w:ascii="Garamond" w:hAnsi="Garamond"/>
          <w:b/>
          <w:bCs/>
        </w:rPr>
      </w:pPr>
      <w:r w:rsidRPr="003B225D">
        <w:rPr>
          <w:rFonts w:ascii="Garamond" w:hAnsi="Garamond"/>
          <w:b/>
          <w:bCs/>
        </w:rPr>
        <w:t>Chapitre 2 : Phase d’exécution du contrat d’assurance</w:t>
      </w:r>
    </w:p>
    <w:p w14:paraId="7F2CEACB" w14:textId="77777777" w:rsidR="003B225D" w:rsidRPr="003B225D" w:rsidRDefault="003B225D" w:rsidP="003B225D">
      <w:pPr>
        <w:rPr>
          <w:rFonts w:ascii="Garamond" w:hAnsi="Garamond"/>
          <w:b/>
          <w:bCs/>
        </w:rPr>
      </w:pPr>
    </w:p>
    <w:p w14:paraId="7938743D" w14:textId="77777777" w:rsidR="003B225D" w:rsidRPr="003B225D" w:rsidRDefault="003B225D" w:rsidP="003B225D">
      <w:pPr>
        <w:rPr>
          <w:rFonts w:ascii="Garamond" w:hAnsi="Garamond"/>
          <w:b/>
          <w:bCs/>
        </w:rPr>
      </w:pPr>
      <w:r w:rsidRPr="003B225D">
        <w:rPr>
          <w:rFonts w:ascii="Garamond" w:hAnsi="Garamond"/>
          <w:b/>
          <w:bCs/>
        </w:rPr>
        <w:t>Section 1 : modifications du contrat</w:t>
      </w:r>
    </w:p>
    <w:p w14:paraId="05D04A2A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bCs/>
          <w:i/>
        </w:rPr>
        <w:t xml:space="preserve">§ 1 : modification </w:t>
      </w:r>
      <w:r w:rsidRPr="003B225D">
        <w:rPr>
          <w:rFonts w:ascii="Garamond" w:hAnsi="Garamond"/>
          <w:b/>
          <w:i/>
        </w:rPr>
        <w:t>à l’initiative de l’assuré</w:t>
      </w:r>
    </w:p>
    <w:p w14:paraId="22B9E66E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A) domaine</w:t>
      </w:r>
    </w:p>
    <w:p w14:paraId="50C9D424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B) conditions</w:t>
      </w:r>
    </w:p>
    <w:p w14:paraId="69DC3C2C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C) contenu de la modification</w:t>
      </w:r>
    </w:p>
    <w:p w14:paraId="40FD4EAF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D) effets</w:t>
      </w:r>
    </w:p>
    <w:p w14:paraId="50C05C3A" w14:textId="77777777" w:rsidR="003B225D" w:rsidRPr="003B225D" w:rsidRDefault="003B225D" w:rsidP="003B225D">
      <w:pPr>
        <w:rPr>
          <w:rFonts w:ascii="Garamond" w:hAnsi="Garamond"/>
        </w:rPr>
      </w:pPr>
    </w:p>
    <w:p w14:paraId="7E9EEFF0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bCs/>
          <w:i/>
        </w:rPr>
        <w:t>§ 2 :</w:t>
      </w:r>
      <w:r w:rsidRPr="003B225D">
        <w:rPr>
          <w:rFonts w:ascii="Garamond" w:hAnsi="Garamond"/>
          <w:b/>
          <w:i/>
        </w:rPr>
        <w:t xml:space="preserve"> modification à l’initiative de l’assureur</w:t>
      </w:r>
    </w:p>
    <w:p w14:paraId="3267C658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A) augmentation de garanties</w:t>
      </w:r>
    </w:p>
    <w:p w14:paraId="5230F70F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eastAsia="Arial Unicode MS" w:hAnsi="Garamond"/>
          <w:szCs w:val="24"/>
        </w:rPr>
      </w:pPr>
      <w:r w:rsidRPr="003B225D">
        <w:rPr>
          <w:rFonts w:ascii="Garamond" w:eastAsia="Arial Unicode MS" w:hAnsi="Garamond"/>
          <w:szCs w:val="24"/>
        </w:rPr>
        <w:t>B) restrictions de garanties</w:t>
      </w:r>
    </w:p>
    <w:p w14:paraId="3B82D32A" w14:textId="77777777" w:rsidR="003B225D" w:rsidRPr="003B225D" w:rsidRDefault="003B225D" w:rsidP="003B225D">
      <w:pPr>
        <w:rPr>
          <w:rFonts w:ascii="Garamond" w:hAnsi="Garamond"/>
        </w:rPr>
      </w:pPr>
    </w:p>
    <w:p w14:paraId="24EBCE7F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3 : L’avenant</w:t>
      </w:r>
    </w:p>
    <w:p w14:paraId="055DA89F" w14:textId="77777777" w:rsidR="003B225D" w:rsidRPr="003B225D" w:rsidRDefault="003B225D" w:rsidP="003B225D">
      <w:pPr>
        <w:rPr>
          <w:rFonts w:ascii="Garamond" w:hAnsi="Garamond"/>
          <w:bCs/>
        </w:rPr>
      </w:pPr>
    </w:p>
    <w:p w14:paraId="751A7E00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</w:rPr>
      </w:pPr>
      <w:r w:rsidRPr="003B225D">
        <w:rPr>
          <w:rFonts w:ascii="Garamond" w:hAnsi="Garamond"/>
          <w:b/>
        </w:rPr>
        <w:t>Section 2 : extinction du contrat</w:t>
      </w:r>
    </w:p>
    <w:p w14:paraId="1460C694" w14:textId="77777777" w:rsidR="003B225D" w:rsidRPr="003B225D" w:rsidRDefault="003B225D" w:rsidP="003B225D">
      <w:pPr>
        <w:pStyle w:val="Titre7"/>
        <w:tabs>
          <w:tab w:val="left" w:pos="0"/>
        </w:tabs>
        <w:rPr>
          <w:rFonts w:ascii="Garamond" w:hAnsi="Garamond"/>
          <w:bCs w:val="0"/>
          <w:i/>
        </w:rPr>
      </w:pPr>
      <w:r w:rsidRPr="003B225D">
        <w:rPr>
          <w:rFonts w:ascii="Garamond" w:hAnsi="Garamond"/>
          <w:bCs w:val="0"/>
          <w:i/>
        </w:rPr>
        <w:t>§ 1 : l’extinction de plein droit du contrat</w:t>
      </w:r>
    </w:p>
    <w:p w14:paraId="5FAEE9EA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principe : extinction à l’arrivée du terme du contrat</w:t>
      </w:r>
    </w:p>
    <w:p w14:paraId="5450A128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B) exception : reconduction du contrat</w:t>
      </w:r>
    </w:p>
    <w:p w14:paraId="34434BA1" w14:textId="77777777" w:rsidR="003B225D" w:rsidRPr="003B225D" w:rsidRDefault="003B225D" w:rsidP="003B225D">
      <w:pPr>
        <w:rPr>
          <w:rFonts w:ascii="Garamond" w:eastAsia="Arial Unicode MS" w:hAnsi="Garamond"/>
        </w:rPr>
      </w:pPr>
      <w:r w:rsidRPr="003B225D">
        <w:rPr>
          <w:rFonts w:ascii="Garamond" w:eastAsia="Arial Unicode MS" w:hAnsi="Garamond"/>
        </w:rPr>
        <w:t>C) autres cas d’extinction de plein droit</w:t>
      </w:r>
    </w:p>
    <w:p w14:paraId="14B94000" w14:textId="77777777" w:rsidR="003B225D" w:rsidRPr="003B225D" w:rsidRDefault="003B225D" w:rsidP="003B225D">
      <w:pPr>
        <w:rPr>
          <w:rFonts w:ascii="Garamond" w:hAnsi="Garamond"/>
        </w:rPr>
      </w:pPr>
    </w:p>
    <w:p w14:paraId="21D8F1AE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2 : extinction à l’initiative des parties</w:t>
      </w:r>
    </w:p>
    <w:p w14:paraId="1ABC6419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facultés légales de résiliation ouvertes à chaque partie</w:t>
      </w:r>
    </w:p>
    <w:p w14:paraId="4858DC49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</w:rPr>
      </w:pPr>
      <w:r w:rsidRPr="003B225D">
        <w:rPr>
          <w:rFonts w:ascii="Garamond" w:hAnsi="Garamond"/>
        </w:rPr>
        <w:t>B) résiliations conventionnelles</w:t>
      </w:r>
    </w:p>
    <w:p w14:paraId="1407C81F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0994FA72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</w:rPr>
      </w:pPr>
    </w:p>
    <w:p w14:paraId="3358AF32" w14:textId="77777777" w:rsidR="003B225D" w:rsidRPr="003B225D" w:rsidRDefault="003B225D" w:rsidP="003B225D">
      <w:pPr>
        <w:jc w:val="center"/>
        <w:rPr>
          <w:rFonts w:ascii="Garamond" w:hAnsi="Garamond"/>
          <w:b/>
        </w:rPr>
      </w:pPr>
      <w:r w:rsidRPr="003B225D">
        <w:rPr>
          <w:rFonts w:ascii="Garamond" w:hAnsi="Garamond"/>
          <w:b/>
        </w:rPr>
        <w:t>Titre 2 : les droits et obligations des parties</w:t>
      </w:r>
    </w:p>
    <w:p w14:paraId="6C45EB73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B225D">
        <w:rPr>
          <w:rFonts w:ascii="Garamond" w:hAnsi="Garamond"/>
          <w:b/>
          <w:bCs/>
          <w:color w:val="000000"/>
        </w:rPr>
        <w:t xml:space="preserve">Chapitre 1 : </w:t>
      </w:r>
      <w:r w:rsidRPr="003B225D">
        <w:rPr>
          <w:rFonts w:ascii="Garamond" w:hAnsi="Garamond"/>
          <w:b/>
        </w:rPr>
        <w:t>droits et obligations des parties</w:t>
      </w:r>
      <w:r w:rsidRPr="003B225D">
        <w:rPr>
          <w:rFonts w:ascii="Garamond" w:hAnsi="Garamond"/>
          <w:b/>
          <w:bCs/>
          <w:color w:val="000000"/>
        </w:rPr>
        <w:t xml:space="preserve"> par rapport au risque</w:t>
      </w:r>
    </w:p>
    <w:p w14:paraId="51669642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eastAsia="Arial Unicode MS" w:hAnsi="Garamond" w:cs="Arial"/>
          <w:b/>
          <w:i/>
        </w:rPr>
      </w:pPr>
    </w:p>
    <w:p w14:paraId="679F4900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eastAsia="Arial Unicode MS" w:hAnsi="Garamond" w:cs="Arial"/>
          <w:b/>
          <w:i/>
        </w:rPr>
      </w:pPr>
      <w:r w:rsidRPr="003B225D">
        <w:rPr>
          <w:rFonts w:ascii="Garamond" w:eastAsia="Arial Unicode MS" w:hAnsi="Garamond" w:cs="Arial"/>
          <w:b/>
          <w:i/>
        </w:rPr>
        <w:t>Introduction sur le risque</w:t>
      </w:r>
    </w:p>
    <w:p w14:paraId="64C07BD6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eastAsia="Arial Unicode MS" w:hAnsi="Garamond" w:cs="Arial"/>
          <w:b/>
          <w:i/>
        </w:rPr>
      </w:pPr>
      <w:r w:rsidRPr="003B225D">
        <w:rPr>
          <w:rFonts w:ascii="Garamond" w:hAnsi="Garamond" w:cs="Arial"/>
        </w:rPr>
        <w:t>A) notion de risque</w:t>
      </w:r>
    </w:p>
    <w:p w14:paraId="475B9DBA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color w:val="000000"/>
        </w:rPr>
      </w:pPr>
      <w:r w:rsidRPr="003B225D">
        <w:rPr>
          <w:rFonts w:ascii="Garamond" w:hAnsi="Garamond" w:cs="Arial"/>
          <w:color w:val="000000"/>
        </w:rPr>
        <w:t>B) Caractères du risque</w:t>
      </w:r>
    </w:p>
    <w:p w14:paraId="20BED25F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14:paraId="53994C45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color w:val="000000"/>
        </w:rPr>
        <w:t>Section 1 : l</w:t>
      </w:r>
      <w:r w:rsidRPr="003B225D">
        <w:rPr>
          <w:rFonts w:ascii="Garamond" w:hAnsi="Garamond"/>
          <w:b/>
        </w:rPr>
        <w:t xml:space="preserve">’obligation déclarative des risques </w:t>
      </w:r>
      <w:r w:rsidRPr="003B225D">
        <w:rPr>
          <w:rFonts w:ascii="Garamond" w:hAnsi="Garamond"/>
          <w:b/>
          <w:color w:val="000000"/>
        </w:rPr>
        <w:t>du souscripteur</w:t>
      </w:r>
    </w:p>
    <w:p w14:paraId="3B0FD107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  <w:color w:val="000000"/>
        </w:rPr>
      </w:pPr>
      <w:r w:rsidRPr="003B225D">
        <w:rPr>
          <w:rFonts w:ascii="Garamond" w:hAnsi="Garamond"/>
          <w:b/>
          <w:i/>
          <w:color w:val="000000"/>
        </w:rPr>
        <w:t>§ 1 : le domaine de l’obligation déclarative des risques</w:t>
      </w:r>
    </w:p>
    <w:p w14:paraId="68D2CAD7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A)  lors de la conclusion du contrat</w:t>
      </w:r>
    </w:p>
    <w:p w14:paraId="79BC7703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</w:rPr>
      </w:pPr>
      <w:r w:rsidRPr="003B225D">
        <w:rPr>
          <w:rFonts w:ascii="Garamond" w:hAnsi="Garamond"/>
          <w:color w:val="000000"/>
        </w:rPr>
        <w:t>B) en cours de contrat</w:t>
      </w:r>
    </w:p>
    <w:p w14:paraId="4E2EB74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  <w:color w:val="000000"/>
        </w:rPr>
      </w:pPr>
    </w:p>
    <w:p w14:paraId="713A3579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  <w:color w:val="000000"/>
        </w:rPr>
      </w:pPr>
      <w:r w:rsidRPr="003B225D">
        <w:rPr>
          <w:rFonts w:ascii="Garamond" w:hAnsi="Garamond"/>
          <w:b/>
          <w:i/>
          <w:color w:val="000000"/>
        </w:rPr>
        <w:t>§ 2 : les sanctions de l’obligation déclarative des risques</w:t>
      </w:r>
    </w:p>
    <w:p w14:paraId="61224782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en cas d’omission ou de fausse déclaration</w:t>
      </w:r>
    </w:p>
    <w:p w14:paraId="7B1E3D6F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B) en cas de déclaration tardive : la déchéance</w:t>
      </w:r>
    </w:p>
    <w:p w14:paraId="5227CB27" w14:textId="77777777" w:rsidR="003B225D" w:rsidRPr="003B225D" w:rsidRDefault="003B225D" w:rsidP="003B225D">
      <w:pPr>
        <w:rPr>
          <w:rFonts w:ascii="Garamond" w:eastAsia="Arial Unicode MS" w:hAnsi="Garamond"/>
        </w:rPr>
      </w:pPr>
      <w:r w:rsidRPr="003B225D">
        <w:rPr>
          <w:rFonts w:ascii="Garamond" w:eastAsia="Arial Unicode MS" w:hAnsi="Garamond"/>
        </w:rPr>
        <w:t>C) des déclarations irrégulières de risque non sanctionnées</w:t>
      </w:r>
    </w:p>
    <w:p w14:paraId="5BA96C83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</w:p>
    <w:p w14:paraId="0DB4B329" w14:textId="77777777" w:rsidR="003B225D" w:rsidRPr="003B225D" w:rsidRDefault="003B225D" w:rsidP="003B225D">
      <w:pPr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color w:val="000000"/>
        </w:rPr>
        <w:t>Section 2 : La délimitation légale des risques</w:t>
      </w:r>
    </w:p>
    <w:p w14:paraId="6849F001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  <w:color w:val="000000"/>
        </w:rPr>
      </w:pPr>
      <w:r w:rsidRPr="003B225D">
        <w:rPr>
          <w:rFonts w:ascii="Garamond" w:hAnsi="Garamond"/>
          <w:b/>
          <w:i/>
          <w:color w:val="000000"/>
        </w:rPr>
        <w:t>§ 1 : exclusions légales</w:t>
      </w:r>
    </w:p>
    <w:p w14:paraId="7789347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</w:rPr>
      </w:pPr>
      <w:r w:rsidRPr="003B225D">
        <w:rPr>
          <w:rFonts w:ascii="Garamond" w:hAnsi="Garamond"/>
          <w:color w:val="000000"/>
        </w:rPr>
        <w:t>A) exclusion absolue de la faute intentionnelle</w:t>
      </w:r>
    </w:p>
    <w:p w14:paraId="65AEE530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</w:rPr>
      </w:pPr>
      <w:r w:rsidRPr="003B225D">
        <w:rPr>
          <w:rFonts w:ascii="Garamond" w:hAnsi="Garamond"/>
          <w:color w:val="000000"/>
        </w:rPr>
        <w:t xml:space="preserve">B) exclusions légales relatives </w:t>
      </w:r>
    </w:p>
    <w:p w14:paraId="019B5D8C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4060880B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  <w:color w:val="000000"/>
        </w:rPr>
        <w:t>§ 2 :</w:t>
      </w:r>
      <w:r w:rsidRPr="003B225D">
        <w:rPr>
          <w:rFonts w:ascii="Garamond" w:hAnsi="Garamond"/>
          <w:b/>
          <w:i/>
        </w:rPr>
        <w:t xml:space="preserve"> Les extensions obligatoires</w:t>
      </w:r>
    </w:p>
    <w:p w14:paraId="524FF313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les extensions liées aux risques naturels</w:t>
      </w:r>
    </w:p>
    <w:p w14:paraId="602D067A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B) les extensions liées aux risques générés par l’homme</w:t>
      </w:r>
    </w:p>
    <w:p w14:paraId="3A5E69B6" w14:textId="77777777" w:rsidR="003B225D" w:rsidRPr="003B225D" w:rsidRDefault="003B225D" w:rsidP="003B225D">
      <w:pPr>
        <w:rPr>
          <w:rFonts w:ascii="Garamond" w:hAnsi="Garamond"/>
          <w:b/>
          <w:color w:val="000000"/>
        </w:rPr>
      </w:pPr>
    </w:p>
    <w:p w14:paraId="530A3A77" w14:textId="77777777" w:rsidR="003B225D" w:rsidRPr="003B225D" w:rsidRDefault="003B225D" w:rsidP="003B225D">
      <w:pPr>
        <w:pStyle w:val="Notedebasdepage"/>
        <w:spacing w:after="0"/>
        <w:rPr>
          <w:rFonts w:ascii="Garamond" w:hAnsi="Garamond"/>
        </w:rPr>
      </w:pPr>
      <w:r w:rsidRPr="003B225D">
        <w:rPr>
          <w:rFonts w:ascii="Garamond" w:hAnsi="Garamond"/>
        </w:rPr>
        <w:t>Section 3 : La délimitation contractuelle de la garantie par l’assureur : les exclusions conventionnelles</w:t>
      </w:r>
    </w:p>
    <w:p w14:paraId="4A71CEC8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szCs w:val="24"/>
        </w:rPr>
      </w:pPr>
      <w:r w:rsidRPr="003B225D">
        <w:rPr>
          <w:rFonts w:ascii="Garamond" w:hAnsi="Garamond"/>
          <w:b/>
          <w:i/>
          <w:szCs w:val="24"/>
        </w:rPr>
        <w:t>§ 1 : notion d’exclusion conventionnelle</w:t>
      </w:r>
    </w:p>
    <w:p w14:paraId="0B16A98C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A) notions voisines</w:t>
      </w:r>
    </w:p>
    <w:p w14:paraId="7F731FFF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 xml:space="preserve">B) nécessaires critères de distinction </w:t>
      </w:r>
    </w:p>
    <w:p w14:paraId="7E9F660E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</w:p>
    <w:p w14:paraId="441B20FF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szCs w:val="24"/>
        </w:rPr>
      </w:pPr>
      <w:r w:rsidRPr="003B225D">
        <w:rPr>
          <w:rFonts w:ascii="Garamond" w:hAnsi="Garamond"/>
          <w:b/>
          <w:i/>
          <w:szCs w:val="24"/>
        </w:rPr>
        <w:t>§ 2 : régime de validité des exclusions conventionnelles</w:t>
      </w:r>
    </w:p>
    <w:p w14:paraId="5FCD9E7E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 xml:space="preserve">A) conditions de validité de l’exclusion </w:t>
      </w:r>
    </w:p>
    <w:p w14:paraId="6E462907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B) charge de la preuve</w:t>
      </w:r>
    </w:p>
    <w:p w14:paraId="14A0E8E8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 w:cs="Arial"/>
          <w:b/>
          <w:i/>
          <w:szCs w:val="24"/>
        </w:rPr>
      </w:pPr>
    </w:p>
    <w:p w14:paraId="7C13CD64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 w:cs="Arial"/>
          <w:b/>
          <w:i/>
          <w:szCs w:val="24"/>
        </w:rPr>
      </w:pPr>
      <w:r w:rsidRPr="003B225D">
        <w:rPr>
          <w:rFonts w:ascii="Garamond" w:hAnsi="Garamond" w:cs="Arial"/>
          <w:b/>
          <w:i/>
          <w:szCs w:val="24"/>
        </w:rPr>
        <w:t>§ 3 : effets de l’exclusion </w:t>
      </w:r>
    </w:p>
    <w:p w14:paraId="1EBB6F9D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</w:p>
    <w:p w14:paraId="17B59E4C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B225D">
        <w:rPr>
          <w:rFonts w:ascii="Garamond" w:hAnsi="Garamond"/>
          <w:b/>
          <w:bCs/>
          <w:color w:val="000000"/>
        </w:rPr>
        <w:t>Chapitre 2 : droits et obligations des parties par rapport à la prime</w:t>
      </w:r>
    </w:p>
    <w:p w14:paraId="2D868F4B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14:paraId="1E34073D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bCs/>
          <w:color w:val="000000"/>
        </w:rPr>
        <w:t>Section 1 : les</w:t>
      </w:r>
      <w:r w:rsidRPr="003B225D">
        <w:rPr>
          <w:rFonts w:ascii="Garamond" w:hAnsi="Garamond"/>
          <w:color w:val="000000"/>
        </w:rPr>
        <w:t xml:space="preserve"> </w:t>
      </w:r>
      <w:r w:rsidRPr="003B225D">
        <w:rPr>
          <w:rFonts w:ascii="Garamond" w:hAnsi="Garamond"/>
          <w:b/>
          <w:color w:val="000000"/>
        </w:rPr>
        <w:t>modalités du paiement de la prime par le souscripteur</w:t>
      </w:r>
    </w:p>
    <w:p w14:paraId="4D068494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szCs w:val="24"/>
        </w:rPr>
      </w:pPr>
      <w:r w:rsidRPr="003B225D">
        <w:rPr>
          <w:rFonts w:ascii="Garamond" w:hAnsi="Garamond"/>
          <w:b/>
          <w:i/>
          <w:szCs w:val="24"/>
        </w:rPr>
        <w:t>§ 1 : les parties au paiement de la prime</w:t>
      </w:r>
    </w:p>
    <w:p w14:paraId="0E18FE4E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 xml:space="preserve">A) le débiteur de la prime </w:t>
      </w:r>
    </w:p>
    <w:p w14:paraId="6FE0B652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B) le créancier de la prime</w:t>
      </w:r>
    </w:p>
    <w:p w14:paraId="1ABF6CA4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</w:p>
    <w:p w14:paraId="3CB78501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color w:val="000000"/>
          <w:szCs w:val="24"/>
        </w:rPr>
      </w:pPr>
      <w:r w:rsidRPr="003B225D">
        <w:rPr>
          <w:rFonts w:ascii="Garamond" w:hAnsi="Garamond"/>
          <w:b/>
          <w:i/>
          <w:szCs w:val="24"/>
        </w:rPr>
        <w:t>§ 2 : les date, lieu et modes du paiement</w:t>
      </w:r>
    </w:p>
    <w:p w14:paraId="67763E65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</w:p>
    <w:p w14:paraId="3E448A06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color w:val="000000"/>
        </w:rPr>
        <w:t>Section 2 : les sanctions en cas de non paiement de la prime</w:t>
      </w:r>
    </w:p>
    <w:p w14:paraId="666FE025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 xml:space="preserve">§ 1 : la mise en demeure </w:t>
      </w:r>
    </w:p>
    <w:p w14:paraId="6CF6CEB8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formalités</w:t>
      </w:r>
    </w:p>
    <w:p w14:paraId="53655C88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eastAsia="Arial Unicode MS" w:hAnsi="Garamond"/>
          <w:szCs w:val="24"/>
        </w:rPr>
      </w:pPr>
      <w:r w:rsidRPr="003B225D">
        <w:rPr>
          <w:rFonts w:ascii="Garamond" w:eastAsia="Arial Unicode MS" w:hAnsi="Garamond"/>
          <w:szCs w:val="24"/>
        </w:rPr>
        <w:t>B) contenu de la mise en demeure</w:t>
      </w:r>
    </w:p>
    <w:p w14:paraId="729BB8A0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C) effets de la mise en demeure</w:t>
      </w:r>
    </w:p>
    <w:p w14:paraId="5B06CF8E" w14:textId="77777777" w:rsidR="003B225D" w:rsidRPr="003B225D" w:rsidRDefault="003B225D" w:rsidP="003B225D">
      <w:pPr>
        <w:rPr>
          <w:rFonts w:ascii="Garamond" w:hAnsi="Garamond"/>
        </w:rPr>
      </w:pPr>
    </w:p>
    <w:p w14:paraId="2F555720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2 : la suspension de la garantie</w:t>
      </w:r>
    </w:p>
    <w:p w14:paraId="77FC269C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notion de suspension</w:t>
      </w:r>
    </w:p>
    <w:p w14:paraId="1F623386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B) fin de la suspension</w:t>
      </w:r>
    </w:p>
    <w:p w14:paraId="155F511B" w14:textId="77777777" w:rsidR="003B225D" w:rsidRPr="003B225D" w:rsidRDefault="003B225D" w:rsidP="003B225D">
      <w:pPr>
        <w:rPr>
          <w:rFonts w:ascii="Garamond" w:hAnsi="Garamond"/>
          <w:b/>
          <w:i/>
        </w:rPr>
      </w:pPr>
    </w:p>
    <w:p w14:paraId="04B73FD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849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ab/>
        <w:t xml:space="preserve">§ 3 : la résiliation du contrat </w:t>
      </w:r>
    </w:p>
    <w:p w14:paraId="0518FC71" w14:textId="77777777" w:rsidR="003B225D" w:rsidRPr="003B225D" w:rsidRDefault="003B225D" w:rsidP="003B225D">
      <w:pPr>
        <w:pStyle w:val="Titre7"/>
        <w:rPr>
          <w:rFonts w:ascii="Garamond" w:hAnsi="Garamond"/>
          <w:b w:val="0"/>
        </w:rPr>
      </w:pPr>
      <w:r w:rsidRPr="003B225D">
        <w:rPr>
          <w:rFonts w:ascii="Garamond" w:hAnsi="Garamond"/>
          <w:b w:val="0"/>
        </w:rPr>
        <w:t>A) une résiliation facultative</w:t>
      </w:r>
    </w:p>
    <w:p w14:paraId="2A992CA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</w:rPr>
      </w:pPr>
      <w:r w:rsidRPr="003B225D">
        <w:rPr>
          <w:rFonts w:ascii="Garamond" w:hAnsi="Garamond"/>
          <w:color w:val="000000"/>
        </w:rPr>
        <w:t>B) une volonté claire de résilier</w:t>
      </w:r>
    </w:p>
    <w:p w14:paraId="5152E5F2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C) un droit au paiement de la prime</w:t>
      </w:r>
    </w:p>
    <w:p w14:paraId="744C689A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eastAsia="Arial Unicode MS" w:hAnsi="Garamond"/>
          <w:szCs w:val="24"/>
        </w:rPr>
      </w:pPr>
      <w:r w:rsidRPr="003B225D">
        <w:rPr>
          <w:rFonts w:ascii="Garamond" w:eastAsia="Arial Unicode MS" w:hAnsi="Garamond"/>
          <w:szCs w:val="24"/>
        </w:rPr>
        <w:t>D) la renonciation à la résiliation</w:t>
      </w:r>
    </w:p>
    <w:p w14:paraId="3255C72B" w14:textId="77777777" w:rsidR="003B225D" w:rsidRPr="003B225D" w:rsidRDefault="003B225D" w:rsidP="003B225D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14:paraId="1FC693C4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14:paraId="201F8332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B225D">
        <w:rPr>
          <w:rFonts w:ascii="Garamond" w:hAnsi="Garamond"/>
          <w:b/>
          <w:bCs/>
          <w:color w:val="000000"/>
        </w:rPr>
        <w:t>Chapitre 3 : droits et obligations des parties par rapport au sinistre</w:t>
      </w:r>
    </w:p>
    <w:p w14:paraId="73F8E975" w14:textId="77777777" w:rsidR="003B225D" w:rsidRPr="003B225D" w:rsidRDefault="003B225D" w:rsidP="003B225D">
      <w:pPr>
        <w:pStyle w:val="Titre3"/>
        <w:spacing w:before="0"/>
        <w:rPr>
          <w:rFonts w:ascii="Garamond" w:hAnsi="Garamond"/>
          <w:bCs w:val="0"/>
          <w:color w:val="auto"/>
        </w:rPr>
      </w:pPr>
    </w:p>
    <w:p w14:paraId="2F21149B" w14:textId="77777777" w:rsidR="003B225D" w:rsidRPr="003B225D" w:rsidRDefault="003B225D" w:rsidP="003B225D">
      <w:pPr>
        <w:pStyle w:val="Titre3"/>
        <w:spacing w:before="0"/>
        <w:rPr>
          <w:rFonts w:ascii="Garamond" w:hAnsi="Garamond"/>
          <w:bCs w:val="0"/>
          <w:color w:val="auto"/>
        </w:rPr>
      </w:pPr>
      <w:r w:rsidRPr="003B225D">
        <w:rPr>
          <w:rFonts w:ascii="Garamond" w:hAnsi="Garamond"/>
          <w:bCs w:val="0"/>
          <w:color w:val="auto"/>
        </w:rPr>
        <w:t>Section 1 : les obligations du souscripteur lors de la survenance du sinistre</w:t>
      </w:r>
    </w:p>
    <w:p w14:paraId="232055C1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 xml:space="preserve">§ 1 : une obligation légale : la déclaration du sinistre </w:t>
      </w:r>
    </w:p>
    <w:p w14:paraId="2A867F9E" w14:textId="77777777" w:rsidR="003B225D" w:rsidRPr="003B225D" w:rsidRDefault="003B225D" w:rsidP="003B225D">
      <w:pPr>
        <w:rPr>
          <w:rFonts w:ascii="Garamond" w:hAnsi="Garamond"/>
        </w:rPr>
      </w:pPr>
      <w:r w:rsidRPr="003B225D">
        <w:rPr>
          <w:rFonts w:ascii="Garamond" w:hAnsi="Garamond"/>
        </w:rPr>
        <w:t>A) domaine de l’obligation de déclaration</w:t>
      </w:r>
    </w:p>
    <w:p w14:paraId="04DA9436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szCs w:val="24"/>
        </w:rPr>
      </w:pPr>
      <w:r w:rsidRPr="003B225D">
        <w:rPr>
          <w:rFonts w:ascii="Garamond" w:hAnsi="Garamond"/>
          <w:szCs w:val="24"/>
        </w:rPr>
        <w:t>B) les modalités de la déclaration de sinistre</w:t>
      </w:r>
    </w:p>
    <w:p w14:paraId="50749DDA" w14:textId="77777777" w:rsidR="003B225D" w:rsidRPr="003B225D" w:rsidRDefault="003B225D" w:rsidP="003B225D">
      <w:pPr>
        <w:rPr>
          <w:rFonts w:ascii="Garamond" w:hAnsi="Garamond"/>
        </w:rPr>
      </w:pPr>
    </w:p>
    <w:p w14:paraId="24D8A3EA" w14:textId="77777777" w:rsidR="003B225D" w:rsidRPr="003B225D" w:rsidRDefault="003B225D" w:rsidP="003B225D">
      <w:pPr>
        <w:tabs>
          <w:tab w:val="left" w:pos="720"/>
        </w:tabs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2 : des obligations conventionnelles</w:t>
      </w:r>
    </w:p>
    <w:p w14:paraId="26151B2E" w14:textId="77777777" w:rsidR="003B225D" w:rsidRPr="003B225D" w:rsidRDefault="003B225D" w:rsidP="003B225D">
      <w:pPr>
        <w:tabs>
          <w:tab w:val="left" w:pos="720"/>
        </w:tabs>
        <w:rPr>
          <w:rFonts w:ascii="Garamond" w:hAnsi="Garamond"/>
        </w:rPr>
      </w:pPr>
      <w:r w:rsidRPr="003B225D">
        <w:rPr>
          <w:rFonts w:ascii="Garamond" w:hAnsi="Garamond"/>
        </w:rPr>
        <w:t>A) la transmission des pièces</w:t>
      </w:r>
    </w:p>
    <w:p w14:paraId="12C07F04" w14:textId="77777777" w:rsidR="003B225D" w:rsidRPr="003B225D" w:rsidRDefault="003B225D" w:rsidP="003B225D">
      <w:pPr>
        <w:tabs>
          <w:tab w:val="left" w:pos="720"/>
        </w:tabs>
        <w:rPr>
          <w:rFonts w:ascii="Garamond" w:hAnsi="Garamond"/>
        </w:rPr>
      </w:pPr>
      <w:r w:rsidRPr="003B225D">
        <w:rPr>
          <w:rFonts w:ascii="Garamond" w:hAnsi="Garamond"/>
        </w:rPr>
        <w:t>B) les mesures de sauvetage</w:t>
      </w:r>
    </w:p>
    <w:p w14:paraId="7DD584FB" w14:textId="77777777" w:rsidR="003B225D" w:rsidRPr="003B225D" w:rsidRDefault="003B225D" w:rsidP="003B225D">
      <w:pPr>
        <w:tabs>
          <w:tab w:val="left" w:pos="720"/>
        </w:tabs>
        <w:rPr>
          <w:rFonts w:ascii="Garamond" w:hAnsi="Garamond"/>
        </w:rPr>
      </w:pPr>
    </w:p>
    <w:p w14:paraId="035B8ACC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szCs w:val="24"/>
        </w:rPr>
      </w:pPr>
      <w:r w:rsidRPr="003B225D">
        <w:rPr>
          <w:rFonts w:ascii="Garamond" w:hAnsi="Garamond"/>
          <w:szCs w:val="24"/>
        </w:rPr>
        <w:t xml:space="preserve">§ </w:t>
      </w:r>
      <w:r w:rsidRPr="003B225D">
        <w:rPr>
          <w:rFonts w:ascii="Garamond" w:hAnsi="Garamond"/>
          <w:b/>
          <w:i/>
          <w:szCs w:val="24"/>
        </w:rPr>
        <w:t>3 : sanction des fautes commises par l’assuré à l’occasion du sinistre : la déchéance</w:t>
      </w:r>
    </w:p>
    <w:p w14:paraId="69E86017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 xml:space="preserve">A) notion </w:t>
      </w:r>
    </w:p>
    <w:p w14:paraId="12BB441A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B) régime juridique de la déchéance</w:t>
      </w:r>
    </w:p>
    <w:p w14:paraId="35304295" w14:textId="77777777" w:rsidR="003B225D" w:rsidRPr="003B225D" w:rsidRDefault="003B225D" w:rsidP="003B225D">
      <w:pPr>
        <w:rPr>
          <w:rFonts w:ascii="Garamond" w:hAnsi="Garamond"/>
        </w:rPr>
      </w:pPr>
    </w:p>
    <w:p w14:paraId="17771D42" w14:textId="77777777" w:rsidR="003B225D" w:rsidRPr="003B225D" w:rsidRDefault="003B225D" w:rsidP="003B225D">
      <w:pPr>
        <w:pStyle w:val="Titre4"/>
        <w:spacing w:before="0"/>
        <w:rPr>
          <w:rFonts w:ascii="Garamond" w:hAnsi="Garamond"/>
          <w:i w:val="0"/>
          <w:color w:val="auto"/>
        </w:rPr>
      </w:pPr>
      <w:r w:rsidRPr="003B225D">
        <w:rPr>
          <w:rFonts w:ascii="Garamond" w:hAnsi="Garamond"/>
          <w:i w:val="0"/>
          <w:color w:val="auto"/>
        </w:rPr>
        <w:t>Section 2 : l’obligation de règlement du sinistre par l’assureur</w:t>
      </w:r>
    </w:p>
    <w:p w14:paraId="4FAA1942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bCs/>
          <w:i/>
        </w:rPr>
        <w:t>§ 1 : P</w:t>
      </w:r>
      <w:r w:rsidRPr="003B225D">
        <w:rPr>
          <w:rFonts w:ascii="Garamond" w:hAnsi="Garamond"/>
          <w:b/>
          <w:i/>
        </w:rPr>
        <w:t>rocédure préalable au paiement de la prestation d’assurance : l’expertise</w:t>
      </w:r>
    </w:p>
    <w:p w14:paraId="4B97E03A" w14:textId="77777777" w:rsidR="003B225D" w:rsidRPr="003B225D" w:rsidRDefault="003B225D" w:rsidP="003B225D">
      <w:pPr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</w:rPr>
        <w:t>§ 2 : Paiement de la prestation d’assurance</w:t>
      </w:r>
    </w:p>
    <w:p w14:paraId="1C81F673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  <w:color w:val="000000"/>
        </w:rPr>
      </w:pPr>
      <w:r w:rsidRPr="003B225D">
        <w:rPr>
          <w:rFonts w:ascii="Garamond" w:hAnsi="Garamond"/>
          <w:b/>
          <w:i/>
          <w:color w:val="000000"/>
        </w:rPr>
        <w:t>§ 3 : droits de l’assureur : la résiliation après sinistre</w:t>
      </w:r>
    </w:p>
    <w:p w14:paraId="40D86A67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</w:p>
    <w:p w14:paraId="4976B5FA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</w:p>
    <w:p w14:paraId="6A301960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B225D">
        <w:rPr>
          <w:rFonts w:ascii="Garamond" w:hAnsi="Garamond"/>
          <w:b/>
          <w:bCs/>
          <w:color w:val="000000"/>
        </w:rPr>
        <w:t>Titre 3 : Aperçu des procédures contentieuses propres au contrat d’assurance</w:t>
      </w:r>
    </w:p>
    <w:p w14:paraId="524A64BF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14:paraId="0B07CA4F" w14:textId="77777777" w:rsidR="003B225D" w:rsidRPr="003B225D" w:rsidRDefault="003B225D" w:rsidP="003B225D">
      <w:pPr>
        <w:jc w:val="center"/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color w:val="000000"/>
        </w:rPr>
        <w:t>Chapitre 1 : La compétence juridictionnelle</w:t>
      </w:r>
    </w:p>
    <w:p w14:paraId="44E8E0C9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</w:p>
    <w:p w14:paraId="35045FAE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color w:val="000000"/>
        </w:rPr>
        <w:t>Section 1 : compétence d’attribution</w:t>
      </w:r>
    </w:p>
    <w:p w14:paraId="03D755D4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  <w:color w:val="000000"/>
        </w:rPr>
        <w:t xml:space="preserve">§ 1 : </w:t>
      </w:r>
      <w:r w:rsidRPr="003B225D">
        <w:rPr>
          <w:rFonts w:ascii="Garamond" w:hAnsi="Garamond"/>
          <w:b/>
          <w:i/>
        </w:rPr>
        <w:t>compétence de la juridiction civile</w:t>
      </w:r>
    </w:p>
    <w:p w14:paraId="770461A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  <w:color w:val="000000"/>
        </w:rPr>
        <w:t xml:space="preserve">§ 2 : </w:t>
      </w:r>
      <w:r w:rsidRPr="003B225D">
        <w:rPr>
          <w:rFonts w:ascii="Garamond" w:hAnsi="Garamond"/>
          <w:b/>
          <w:i/>
        </w:rPr>
        <w:t>compétence de la juridiction commerciale</w:t>
      </w:r>
    </w:p>
    <w:p w14:paraId="7E235A5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  <w:color w:val="000000"/>
        </w:rPr>
      </w:pPr>
      <w:r w:rsidRPr="003B225D">
        <w:rPr>
          <w:rFonts w:ascii="Garamond" w:hAnsi="Garamond"/>
          <w:b/>
          <w:i/>
          <w:color w:val="000000"/>
        </w:rPr>
        <w:t>§ 3 : le cas du contrat mixte</w:t>
      </w:r>
    </w:p>
    <w:p w14:paraId="2D4DECF6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  <w:color w:val="000000"/>
        </w:rPr>
        <w:t xml:space="preserve">§ 4 : </w:t>
      </w:r>
      <w:r w:rsidRPr="003B225D">
        <w:rPr>
          <w:rFonts w:ascii="Garamond" w:hAnsi="Garamond"/>
          <w:b/>
          <w:i/>
        </w:rPr>
        <w:t>compétence de la juridiction administrative</w:t>
      </w:r>
    </w:p>
    <w:p w14:paraId="2188711C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</w:rPr>
      </w:pPr>
      <w:r w:rsidRPr="003B225D">
        <w:rPr>
          <w:rFonts w:ascii="Garamond" w:hAnsi="Garamond"/>
          <w:b/>
          <w:i/>
          <w:color w:val="000000"/>
        </w:rPr>
        <w:t xml:space="preserve">§ 5 : </w:t>
      </w:r>
      <w:r w:rsidRPr="003B225D">
        <w:rPr>
          <w:rFonts w:ascii="Garamond" w:hAnsi="Garamond"/>
          <w:b/>
          <w:i/>
        </w:rPr>
        <w:t>compétence de la juridiction répressive</w:t>
      </w:r>
    </w:p>
    <w:p w14:paraId="0A680D8D" w14:textId="77777777" w:rsidR="003B225D" w:rsidRPr="003B225D" w:rsidRDefault="003B225D" w:rsidP="003B225D">
      <w:pPr>
        <w:rPr>
          <w:rFonts w:ascii="Garamond" w:hAnsi="Garamond"/>
          <w:b/>
          <w:color w:val="000000"/>
        </w:rPr>
      </w:pPr>
    </w:p>
    <w:p w14:paraId="54DC8D8C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color w:val="000000"/>
        </w:rPr>
        <w:t>Section 2 : compétence</w:t>
      </w:r>
      <w:r w:rsidRPr="003B225D">
        <w:rPr>
          <w:rFonts w:ascii="Garamond" w:hAnsi="Garamond"/>
          <w:color w:val="000000"/>
        </w:rPr>
        <w:t xml:space="preserve"> </w:t>
      </w:r>
      <w:r w:rsidRPr="003B225D">
        <w:rPr>
          <w:rFonts w:ascii="Garamond" w:hAnsi="Garamond"/>
          <w:b/>
          <w:color w:val="000000"/>
        </w:rPr>
        <w:t>territoriale</w:t>
      </w:r>
    </w:p>
    <w:p w14:paraId="2C2F1DF6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szCs w:val="24"/>
        </w:rPr>
      </w:pPr>
      <w:r w:rsidRPr="003B225D">
        <w:rPr>
          <w:rFonts w:ascii="Garamond" w:hAnsi="Garamond"/>
          <w:b/>
          <w:i/>
          <w:szCs w:val="24"/>
        </w:rPr>
        <w:t xml:space="preserve">§ 1 : principe </w:t>
      </w:r>
    </w:p>
    <w:p w14:paraId="269D21A3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szCs w:val="24"/>
        </w:rPr>
      </w:pPr>
      <w:r w:rsidRPr="003B225D">
        <w:rPr>
          <w:rFonts w:ascii="Garamond" w:hAnsi="Garamond"/>
          <w:b/>
          <w:i/>
          <w:szCs w:val="24"/>
        </w:rPr>
        <w:t>§ 2 : exceptions</w:t>
      </w:r>
    </w:p>
    <w:p w14:paraId="752037B0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color w:val="000000"/>
        </w:rPr>
      </w:pPr>
    </w:p>
    <w:p w14:paraId="70055418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color w:val="000000"/>
        </w:rPr>
      </w:pPr>
    </w:p>
    <w:p w14:paraId="177811FC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color w:val="000000"/>
        </w:rPr>
        <w:t>Chapitre 2 : la prescription biennale</w:t>
      </w:r>
    </w:p>
    <w:p w14:paraId="7456AE5C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szCs w:val="24"/>
        </w:rPr>
      </w:pPr>
    </w:p>
    <w:p w14:paraId="3C6BFA01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szCs w:val="24"/>
        </w:rPr>
      </w:pPr>
      <w:r w:rsidRPr="003B225D">
        <w:rPr>
          <w:rFonts w:ascii="Garamond" w:hAnsi="Garamond"/>
          <w:b/>
          <w:szCs w:val="24"/>
        </w:rPr>
        <w:t>Section 1 : le domaine d’application de la prescription biennale</w:t>
      </w:r>
    </w:p>
    <w:p w14:paraId="1562D880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szCs w:val="24"/>
        </w:rPr>
      </w:pPr>
      <w:r w:rsidRPr="003B225D">
        <w:rPr>
          <w:rFonts w:ascii="Garamond" w:hAnsi="Garamond"/>
          <w:b/>
          <w:i/>
          <w:szCs w:val="24"/>
        </w:rPr>
        <w:t>§ 1 : les actions relevant de la prescription biennale</w:t>
      </w:r>
    </w:p>
    <w:p w14:paraId="0C185BB4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b/>
          <w:i/>
          <w:szCs w:val="24"/>
        </w:rPr>
        <w:t>§ 2 : les actions ne relevant pas de la prescription biennale</w:t>
      </w:r>
    </w:p>
    <w:p w14:paraId="1D82BA85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eastAsia="Arial Unicode MS" w:hAnsi="Garamond"/>
          <w:szCs w:val="24"/>
        </w:rPr>
      </w:pPr>
    </w:p>
    <w:p w14:paraId="3B3A47A6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</w:p>
    <w:p w14:paraId="45DB8226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</w:rPr>
      </w:pPr>
      <w:r w:rsidRPr="003B225D">
        <w:rPr>
          <w:rFonts w:ascii="Garamond" w:hAnsi="Garamond"/>
          <w:b/>
        </w:rPr>
        <w:t>Section 2 : le point de départ de la prescription biennale</w:t>
      </w:r>
    </w:p>
    <w:p w14:paraId="111CB34A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  <w:color w:val="000000"/>
        </w:rPr>
      </w:pPr>
      <w:r w:rsidRPr="003B225D">
        <w:rPr>
          <w:rFonts w:ascii="Garamond" w:hAnsi="Garamond"/>
          <w:b/>
          <w:i/>
          <w:color w:val="000000"/>
        </w:rPr>
        <w:t>§ 1 : point de départ à compter de « l’événement qui y donne naissance »</w:t>
      </w:r>
    </w:p>
    <w:p w14:paraId="1516DC4D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i/>
          <w:color w:val="000000"/>
        </w:rPr>
      </w:pPr>
      <w:r w:rsidRPr="003B225D">
        <w:rPr>
          <w:rFonts w:ascii="Garamond" w:hAnsi="Garamond"/>
          <w:b/>
          <w:i/>
          <w:color w:val="000000"/>
        </w:rPr>
        <w:t>§ 2 : les points de départ différés</w:t>
      </w:r>
    </w:p>
    <w:p w14:paraId="290E3537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</w:p>
    <w:p w14:paraId="211C3E26" w14:textId="77777777" w:rsidR="003B225D" w:rsidRPr="003B225D" w:rsidRDefault="003B225D" w:rsidP="003B22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3B225D">
        <w:rPr>
          <w:rFonts w:ascii="Garamond" w:hAnsi="Garamond"/>
          <w:b/>
          <w:color w:val="000000"/>
        </w:rPr>
        <w:t xml:space="preserve">Section 3 : Suspension et interruption </w:t>
      </w:r>
    </w:p>
    <w:p w14:paraId="5388F000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szCs w:val="24"/>
        </w:rPr>
      </w:pPr>
      <w:r w:rsidRPr="003B225D">
        <w:rPr>
          <w:rFonts w:ascii="Garamond" w:hAnsi="Garamond"/>
          <w:b/>
          <w:i/>
          <w:szCs w:val="24"/>
        </w:rPr>
        <w:t>§ 1 : suspension de la prescription biennale</w:t>
      </w:r>
    </w:p>
    <w:p w14:paraId="476C12AE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A) les causes</w:t>
      </w:r>
    </w:p>
    <w:p w14:paraId="18157F85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B) effets de la suspension</w:t>
      </w:r>
    </w:p>
    <w:p w14:paraId="0BC9D0C9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</w:p>
    <w:p w14:paraId="585B5CBA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i/>
          <w:szCs w:val="24"/>
        </w:rPr>
      </w:pPr>
      <w:r w:rsidRPr="003B225D">
        <w:rPr>
          <w:rFonts w:ascii="Garamond" w:hAnsi="Garamond"/>
          <w:b/>
          <w:i/>
          <w:szCs w:val="24"/>
        </w:rPr>
        <w:t>§ 2 : l’interruption de la prescription biennale</w:t>
      </w:r>
    </w:p>
    <w:p w14:paraId="44011DC4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szCs w:val="24"/>
        </w:rPr>
      </w:pPr>
      <w:r w:rsidRPr="003B225D">
        <w:rPr>
          <w:rFonts w:ascii="Garamond" w:hAnsi="Garamond"/>
          <w:szCs w:val="24"/>
        </w:rPr>
        <w:t>A) les causes d’interruption</w:t>
      </w:r>
    </w:p>
    <w:p w14:paraId="79DFCC01" w14:textId="77777777" w:rsidR="003B225D" w:rsidRPr="003B225D" w:rsidRDefault="003B225D" w:rsidP="003B225D">
      <w:pPr>
        <w:pStyle w:val="Style3"/>
        <w:numPr>
          <w:ilvl w:val="0"/>
          <w:numId w:val="0"/>
        </w:numPr>
        <w:spacing w:before="0"/>
        <w:rPr>
          <w:rFonts w:ascii="Garamond" w:hAnsi="Garamond"/>
          <w:b/>
          <w:color w:val="000000"/>
          <w:szCs w:val="24"/>
        </w:rPr>
      </w:pPr>
      <w:r w:rsidRPr="003B225D">
        <w:rPr>
          <w:rFonts w:ascii="Garamond" w:hAnsi="Garamond"/>
          <w:szCs w:val="24"/>
        </w:rPr>
        <w:t>B) les effets de l’interruption</w:t>
      </w:r>
    </w:p>
    <w:p w14:paraId="19A24078" w14:textId="77777777" w:rsidR="008D56F4" w:rsidRDefault="008D56F4"/>
    <w:sectPr w:rsidR="008D56F4" w:rsidSect="00EC4A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E0B2A"/>
    <w:multiLevelType w:val="hybridMultilevel"/>
    <w:tmpl w:val="D6BC6DD4"/>
    <w:lvl w:ilvl="0" w:tplc="7EC24118">
      <w:start w:val="1"/>
      <w:numFmt w:val="decimal"/>
      <w:pStyle w:val="Style3"/>
      <w:lvlText w:val="%1."/>
      <w:lvlJc w:val="left"/>
      <w:pPr>
        <w:ind w:left="0" w:firstLine="170"/>
      </w:pPr>
      <w:rPr>
        <w:rFonts w:ascii="Arial" w:hAnsi="Arial" w:hint="default"/>
        <w:b/>
        <w:i w:val="0"/>
        <w:color w:val="auto"/>
        <w:sz w:val="24"/>
      </w:rPr>
    </w:lvl>
    <w:lvl w:ilvl="1" w:tplc="30660F92">
      <w:start w:val="1"/>
      <w:numFmt w:val="lowerLetter"/>
      <w:lvlText w:val="%2."/>
      <w:lvlJc w:val="left"/>
      <w:pPr>
        <w:ind w:left="1440" w:hanging="360"/>
      </w:pPr>
    </w:lvl>
    <w:lvl w:ilvl="2" w:tplc="B68CABBA" w:tentative="1">
      <w:start w:val="1"/>
      <w:numFmt w:val="lowerRoman"/>
      <w:lvlText w:val="%3."/>
      <w:lvlJc w:val="right"/>
      <w:pPr>
        <w:ind w:left="2160" w:hanging="180"/>
      </w:pPr>
    </w:lvl>
    <w:lvl w:ilvl="3" w:tplc="9BBE63D6" w:tentative="1">
      <w:start w:val="1"/>
      <w:numFmt w:val="decimal"/>
      <w:lvlText w:val="%4."/>
      <w:lvlJc w:val="left"/>
      <w:pPr>
        <w:ind w:left="2880" w:hanging="360"/>
      </w:pPr>
    </w:lvl>
    <w:lvl w:ilvl="4" w:tplc="5D0AA14C" w:tentative="1">
      <w:start w:val="1"/>
      <w:numFmt w:val="lowerLetter"/>
      <w:lvlText w:val="%5."/>
      <w:lvlJc w:val="left"/>
      <w:pPr>
        <w:ind w:left="3600" w:hanging="360"/>
      </w:pPr>
    </w:lvl>
    <w:lvl w:ilvl="5" w:tplc="4F5CDB94" w:tentative="1">
      <w:start w:val="1"/>
      <w:numFmt w:val="lowerRoman"/>
      <w:lvlText w:val="%6."/>
      <w:lvlJc w:val="right"/>
      <w:pPr>
        <w:ind w:left="4320" w:hanging="180"/>
      </w:pPr>
    </w:lvl>
    <w:lvl w:ilvl="6" w:tplc="48F65412" w:tentative="1">
      <w:start w:val="1"/>
      <w:numFmt w:val="decimal"/>
      <w:lvlText w:val="%7."/>
      <w:lvlJc w:val="left"/>
      <w:pPr>
        <w:ind w:left="5040" w:hanging="360"/>
      </w:pPr>
    </w:lvl>
    <w:lvl w:ilvl="7" w:tplc="B6BE2FD4" w:tentative="1">
      <w:start w:val="1"/>
      <w:numFmt w:val="lowerLetter"/>
      <w:lvlText w:val="%8."/>
      <w:lvlJc w:val="left"/>
      <w:pPr>
        <w:ind w:left="5760" w:hanging="360"/>
      </w:pPr>
    </w:lvl>
    <w:lvl w:ilvl="8" w:tplc="30C8E0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5D"/>
    <w:rsid w:val="003B225D"/>
    <w:rsid w:val="008D56F4"/>
    <w:rsid w:val="00D53D8B"/>
    <w:rsid w:val="00E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DE28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5D"/>
    <w:pPr>
      <w:jc w:val="both"/>
    </w:pPr>
    <w:rPr>
      <w:rFonts w:eastAsia="Cambria" w:cs="Times New Roman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B2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22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3B225D"/>
    <w:pPr>
      <w:keepNext/>
      <w:outlineLvl w:val="6"/>
    </w:pPr>
    <w:rPr>
      <w:rFonts w:eastAsia="Times New Roman"/>
      <w:b/>
      <w:bCs/>
      <w:lang w:eastAsia="fr-FR"/>
    </w:rPr>
  </w:style>
  <w:style w:type="paragraph" w:styleId="Titre9">
    <w:name w:val="heading 9"/>
    <w:basedOn w:val="Normal"/>
    <w:next w:val="Normal"/>
    <w:link w:val="Titre9Car"/>
    <w:rsid w:val="003B22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B225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B225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Titre7Car">
    <w:name w:val="Titre 7 Car"/>
    <w:basedOn w:val="Policepardfaut"/>
    <w:link w:val="Titre7"/>
    <w:rsid w:val="003B225D"/>
    <w:rPr>
      <w:rFonts w:eastAsia="Times New Roman" w:cs="Times New Roman"/>
      <w:b/>
      <w:bCs/>
    </w:rPr>
  </w:style>
  <w:style w:type="character" w:customStyle="1" w:styleId="Titre9Car">
    <w:name w:val="Titre 9 Car"/>
    <w:basedOn w:val="Policepardfaut"/>
    <w:link w:val="Titre9"/>
    <w:rsid w:val="003B225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eastAsia="en-US"/>
    </w:rPr>
  </w:style>
  <w:style w:type="paragraph" w:customStyle="1" w:styleId="Style3">
    <w:name w:val="Style3"/>
    <w:basedOn w:val="Normal"/>
    <w:qFormat/>
    <w:rsid w:val="003B225D"/>
    <w:pPr>
      <w:numPr>
        <w:numId w:val="1"/>
      </w:numPr>
      <w:spacing w:before="60"/>
    </w:pPr>
    <w:rPr>
      <w:rFonts w:eastAsia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autoRedefine/>
    <w:rsid w:val="003B225D"/>
    <w:pPr>
      <w:spacing w:after="60"/>
    </w:pPr>
    <w:rPr>
      <w:b/>
    </w:rPr>
  </w:style>
  <w:style w:type="character" w:customStyle="1" w:styleId="NotedebasdepageCar">
    <w:name w:val="Note de bas de page Car"/>
    <w:basedOn w:val="Policepardfaut"/>
    <w:link w:val="Notedebasdepage"/>
    <w:rsid w:val="003B225D"/>
    <w:rPr>
      <w:rFonts w:eastAsia="Cambria" w:cs="Times New Roman"/>
      <w:b/>
      <w:lang w:eastAsia="en-US"/>
    </w:rPr>
  </w:style>
  <w:style w:type="paragraph" w:customStyle="1" w:styleId="annot">
    <w:name w:val="annot"/>
    <w:basedOn w:val="Normal"/>
    <w:uiPriority w:val="99"/>
    <w:rsid w:val="003B225D"/>
    <w:pPr>
      <w:spacing w:before="60"/>
    </w:pPr>
    <w:rPr>
      <w:rFonts w:eastAsia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B2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5D"/>
    <w:pPr>
      <w:jc w:val="both"/>
    </w:pPr>
    <w:rPr>
      <w:rFonts w:eastAsia="Cambria" w:cs="Times New Roman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B2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22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3B225D"/>
    <w:pPr>
      <w:keepNext/>
      <w:outlineLvl w:val="6"/>
    </w:pPr>
    <w:rPr>
      <w:rFonts w:eastAsia="Times New Roman"/>
      <w:b/>
      <w:bCs/>
      <w:lang w:eastAsia="fr-FR"/>
    </w:rPr>
  </w:style>
  <w:style w:type="paragraph" w:styleId="Titre9">
    <w:name w:val="heading 9"/>
    <w:basedOn w:val="Normal"/>
    <w:next w:val="Normal"/>
    <w:link w:val="Titre9Car"/>
    <w:rsid w:val="003B22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B225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B225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Titre7Car">
    <w:name w:val="Titre 7 Car"/>
    <w:basedOn w:val="Policepardfaut"/>
    <w:link w:val="Titre7"/>
    <w:rsid w:val="003B225D"/>
    <w:rPr>
      <w:rFonts w:eastAsia="Times New Roman" w:cs="Times New Roman"/>
      <w:b/>
      <w:bCs/>
    </w:rPr>
  </w:style>
  <w:style w:type="character" w:customStyle="1" w:styleId="Titre9Car">
    <w:name w:val="Titre 9 Car"/>
    <w:basedOn w:val="Policepardfaut"/>
    <w:link w:val="Titre9"/>
    <w:rsid w:val="003B225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eastAsia="en-US"/>
    </w:rPr>
  </w:style>
  <w:style w:type="paragraph" w:customStyle="1" w:styleId="Style3">
    <w:name w:val="Style3"/>
    <w:basedOn w:val="Normal"/>
    <w:qFormat/>
    <w:rsid w:val="003B225D"/>
    <w:pPr>
      <w:numPr>
        <w:numId w:val="1"/>
      </w:numPr>
      <w:spacing w:before="60"/>
    </w:pPr>
    <w:rPr>
      <w:rFonts w:eastAsia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autoRedefine/>
    <w:rsid w:val="003B225D"/>
    <w:pPr>
      <w:spacing w:after="60"/>
    </w:pPr>
    <w:rPr>
      <w:b/>
    </w:rPr>
  </w:style>
  <w:style w:type="character" w:customStyle="1" w:styleId="NotedebasdepageCar">
    <w:name w:val="Note de bas de page Car"/>
    <w:basedOn w:val="Policepardfaut"/>
    <w:link w:val="Notedebasdepage"/>
    <w:rsid w:val="003B225D"/>
    <w:rPr>
      <w:rFonts w:eastAsia="Cambria" w:cs="Times New Roman"/>
      <w:b/>
      <w:lang w:eastAsia="en-US"/>
    </w:rPr>
  </w:style>
  <w:style w:type="paragraph" w:customStyle="1" w:styleId="annot">
    <w:name w:val="annot"/>
    <w:basedOn w:val="Normal"/>
    <w:uiPriority w:val="99"/>
    <w:rsid w:val="003B225D"/>
    <w:pPr>
      <w:spacing w:before="60"/>
    </w:pPr>
    <w:rPr>
      <w:rFonts w:eastAsia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B2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jda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960</Words>
  <Characters>5286</Characters>
  <Application>Microsoft Macintosh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2</cp:revision>
  <dcterms:created xsi:type="dcterms:W3CDTF">2019-01-25T10:03:00Z</dcterms:created>
  <dcterms:modified xsi:type="dcterms:W3CDTF">2019-01-25T10:08:00Z</dcterms:modified>
</cp:coreProperties>
</file>