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BC9" w:rsidRPr="005B5F3C" w:rsidRDefault="00216BC9" w:rsidP="00216BC9">
      <w:pPr>
        <w:jc w:val="center"/>
        <w:rPr>
          <w:b/>
        </w:rPr>
      </w:pPr>
      <w:r w:rsidRPr="005B5F3C">
        <w:rPr>
          <w:b/>
        </w:rPr>
        <w:t>DROIT PENAL EUROPEEN</w:t>
      </w:r>
    </w:p>
    <w:p w:rsidR="00216BC9" w:rsidRPr="00216BC9" w:rsidRDefault="00216BC9" w:rsidP="00216BC9">
      <w:pPr>
        <w:jc w:val="center"/>
        <w:rPr>
          <w:b/>
        </w:rPr>
      </w:pPr>
      <w:r w:rsidRPr="00216BC9">
        <w:rPr>
          <w:b/>
        </w:rPr>
        <w:t>PLAN</w:t>
      </w:r>
    </w:p>
    <w:p w:rsidR="00216BC9" w:rsidRDefault="00216BC9" w:rsidP="00216BC9">
      <w:pPr>
        <w:pStyle w:val="TM1"/>
        <w:tabs>
          <w:tab w:val="right" w:leader="dot" w:pos="9056"/>
        </w:tabs>
        <w:rPr>
          <w:b w:val="0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bookmarkStart w:id="0" w:name="_GoBack"/>
      <w:r w:rsidRPr="00473120">
        <w:rPr>
          <w:rStyle w:val="Lienhypertexte"/>
          <w:noProof/>
        </w:rPr>
        <w:fldChar w:fldCharType="begin"/>
      </w:r>
      <w:r w:rsidRPr="00473120">
        <w:rPr>
          <w:rStyle w:val="Lienhypertexte"/>
          <w:noProof/>
        </w:rPr>
        <w:instrText xml:space="preserve"> </w:instrText>
      </w:r>
      <w:r>
        <w:rPr>
          <w:noProof/>
        </w:rPr>
        <w:instrText>HYPERLINK \l "_Toc536624840"</w:instrText>
      </w:r>
      <w:r w:rsidRPr="00473120">
        <w:rPr>
          <w:rStyle w:val="Lienhypertexte"/>
          <w:noProof/>
        </w:rPr>
        <w:instrText xml:space="preserve"> </w:instrText>
      </w:r>
      <w:r w:rsidRPr="00473120">
        <w:rPr>
          <w:rStyle w:val="Lienhypertexte"/>
          <w:noProof/>
        </w:rPr>
      </w:r>
      <w:r w:rsidRPr="00473120">
        <w:rPr>
          <w:rStyle w:val="Lienhypertexte"/>
          <w:noProof/>
        </w:rPr>
        <w:fldChar w:fldCharType="separate"/>
      </w:r>
      <w:r w:rsidRPr="00473120">
        <w:rPr>
          <w:rStyle w:val="Lienhypertexte"/>
          <w:noProof/>
        </w:rPr>
        <w:t>INTRODUCTION</w:t>
      </w:r>
      <w:r>
        <w:rPr>
          <w:noProof/>
          <w:webHidden/>
        </w:rPr>
        <w:tab/>
      </w:r>
      <w:r w:rsidRPr="00473120">
        <w:rPr>
          <w:rStyle w:val="Lienhypertexte"/>
          <w:noProof/>
        </w:rPr>
        <w:fldChar w:fldCharType="end"/>
      </w:r>
    </w:p>
    <w:p w:rsidR="00216BC9" w:rsidRDefault="00216BC9" w:rsidP="00216BC9">
      <w:pPr>
        <w:pStyle w:val="TM2"/>
        <w:tabs>
          <w:tab w:val="right" w:leader="dot" w:pos="9056"/>
        </w:tabs>
        <w:rPr>
          <w:b w:val="0"/>
          <w:noProof/>
        </w:rPr>
      </w:pPr>
      <w:hyperlink w:anchor="_Toc536624841" w:history="1">
        <w:r w:rsidRPr="00473120">
          <w:rPr>
            <w:rStyle w:val="Lienhypertexte"/>
            <w:noProof/>
          </w:rPr>
          <w:t>I. PROPOS INTRODUCTIFS</w:t>
        </w:r>
        <w:r>
          <w:rPr>
            <w:noProof/>
            <w:webHidden/>
          </w:rPr>
          <w:tab/>
        </w:r>
      </w:hyperlink>
    </w:p>
    <w:p w:rsidR="00216BC9" w:rsidRDefault="00216BC9" w:rsidP="00216BC9">
      <w:pPr>
        <w:pStyle w:val="TM2"/>
        <w:tabs>
          <w:tab w:val="right" w:leader="dot" w:pos="9056"/>
        </w:tabs>
        <w:rPr>
          <w:b w:val="0"/>
          <w:noProof/>
        </w:rPr>
      </w:pPr>
      <w:hyperlink w:anchor="_Toc536624842" w:history="1">
        <w:r w:rsidRPr="00473120">
          <w:rPr>
            <w:rStyle w:val="Lienhypertexte"/>
            <w:noProof/>
          </w:rPr>
          <w:t>II. PRESENTATION DES DEUX EUROPES</w:t>
        </w:r>
        <w:r>
          <w:rPr>
            <w:noProof/>
            <w:webHidden/>
          </w:rPr>
          <w:tab/>
        </w:r>
      </w:hyperlink>
    </w:p>
    <w:p w:rsidR="00216BC9" w:rsidRDefault="00216BC9" w:rsidP="00216BC9">
      <w:pPr>
        <w:pStyle w:val="TM3"/>
        <w:tabs>
          <w:tab w:val="right" w:leader="dot" w:pos="9056"/>
        </w:tabs>
        <w:rPr>
          <w:noProof/>
        </w:rPr>
      </w:pPr>
      <w:hyperlink w:anchor="_Toc536624843" w:history="1">
        <w:r w:rsidRPr="00473120">
          <w:rPr>
            <w:rStyle w:val="Lienhypertexte"/>
            <w:noProof/>
          </w:rPr>
          <w:t>A. La grande Europe : Le Conseil de l’Europe</w:t>
        </w:r>
        <w:r>
          <w:rPr>
            <w:noProof/>
            <w:webHidden/>
          </w:rPr>
          <w:tab/>
        </w:r>
      </w:hyperlink>
    </w:p>
    <w:p w:rsidR="00216BC9" w:rsidRDefault="00216BC9" w:rsidP="00216BC9">
      <w:pPr>
        <w:pStyle w:val="TM3"/>
        <w:tabs>
          <w:tab w:val="right" w:leader="dot" w:pos="9056"/>
        </w:tabs>
        <w:rPr>
          <w:noProof/>
        </w:rPr>
      </w:pPr>
      <w:hyperlink w:anchor="_Toc536624844" w:history="1">
        <w:r w:rsidRPr="00473120">
          <w:rPr>
            <w:rStyle w:val="Lienhypertexte"/>
            <w:noProof/>
          </w:rPr>
          <w:t>B. La petite Europe : L’Union européenne</w:t>
        </w:r>
        <w:r>
          <w:rPr>
            <w:noProof/>
            <w:webHidden/>
          </w:rPr>
          <w:tab/>
        </w:r>
      </w:hyperlink>
    </w:p>
    <w:p w:rsidR="00216BC9" w:rsidRDefault="00216BC9" w:rsidP="00216BC9">
      <w:pPr>
        <w:pStyle w:val="TM1"/>
        <w:tabs>
          <w:tab w:val="right" w:leader="dot" w:pos="9056"/>
        </w:tabs>
        <w:rPr>
          <w:b w:val="0"/>
          <w:noProof/>
          <w:sz w:val="22"/>
          <w:szCs w:val="22"/>
        </w:rPr>
      </w:pPr>
      <w:hyperlink w:anchor="_Toc536624845" w:history="1">
        <w:r w:rsidRPr="00473120">
          <w:rPr>
            <w:rStyle w:val="Lienhypertexte"/>
            <w:noProof/>
          </w:rPr>
          <w:t>PARTIE 1 : LA COOPÉRATION ENTRE LES ETATS MEMBRES</w:t>
        </w:r>
        <w:r>
          <w:rPr>
            <w:noProof/>
            <w:webHidden/>
          </w:rPr>
          <w:tab/>
        </w:r>
      </w:hyperlink>
    </w:p>
    <w:p w:rsidR="00216BC9" w:rsidRDefault="00216BC9" w:rsidP="00216BC9">
      <w:pPr>
        <w:pStyle w:val="TM2"/>
        <w:tabs>
          <w:tab w:val="right" w:leader="dot" w:pos="9056"/>
        </w:tabs>
        <w:rPr>
          <w:b w:val="0"/>
          <w:noProof/>
        </w:rPr>
      </w:pPr>
      <w:hyperlink w:anchor="_Toc536624846" w:history="1">
        <w:r w:rsidRPr="00473120">
          <w:rPr>
            <w:rStyle w:val="Lienhypertexte"/>
            <w:noProof/>
          </w:rPr>
          <w:t>Chapitre 1 : La coopération policière et l’échange d’informations</w:t>
        </w:r>
        <w:r>
          <w:rPr>
            <w:noProof/>
            <w:webHidden/>
          </w:rPr>
          <w:tab/>
        </w:r>
      </w:hyperlink>
    </w:p>
    <w:p w:rsidR="00216BC9" w:rsidRDefault="00216BC9" w:rsidP="00216BC9">
      <w:pPr>
        <w:pStyle w:val="TM3"/>
        <w:tabs>
          <w:tab w:val="right" w:leader="dot" w:pos="9056"/>
        </w:tabs>
        <w:rPr>
          <w:noProof/>
        </w:rPr>
      </w:pPr>
      <w:hyperlink w:anchor="_Toc536624847" w:history="1">
        <w:r w:rsidRPr="00473120">
          <w:rPr>
            <w:rStyle w:val="Lienhypertexte"/>
            <w:noProof/>
          </w:rPr>
          <w:t>Section 1 : la coopération policière</w:t>
        </w:r>
        <w:r>
          <w:rPr>
            <w:noProof/>
            <w:webHidden/>
          </w:rPr>
          <w:tab/>
        </w:r>
      </w:hyperlink>
    </w:p>
    <w:p w:rsidR="00216BC9" w:rsidRDefault="00216BC9" w:rsidP="00216BC9">
      <w:pPr>
        <w:pStyle w:val="TM3"/>
        <w:tabs>
          <w:tab w:val="right" w:leader="dot" w:pos="9056"/>
        </w:tabs>
        <w:rPr>
          <w:noProof/>
        </w:rPr>
      </w:pPr>
      <w:hyperlink w:anchor="_Toc536624848" w:history="1">
        <w:r w:rsidRPr="00473120">
          <w:rPr>
            <w:rStyle w:val="Lienhypertexte"/>
            <w:noProof/>
          </w:rPr>
          <w:t>Section 2 : L’échange d’information</w:t>
        </w:r>
        <w:r>
          <w:rPr>
            <w:noProof/>
            <w:webHidden/>
          </w:rPr>
          <w:tab/>
        </w:r>
      </w:hyperlink>
    </w:p>
    <w:p w:rsidR="00216BC9" w:rsidRDefault="00216BC9" w:rsidP="00216BC9">
      <w:pPr>
        <w:pStyle w:val="TM2"/>
        <w:tabs>
          <w:tab w:val="right" w:leader="dot" w:pos="9056"/>
        </w:tabs>
        <w:rPr>
          <w:b w:val="0"/>
          <w:noProof/>
        </w:rPr>
      </w:pPr>
      <w:hyperlink w:anchor="_Toc536624849" w:history="1">
        <w:r w:rsidRPr="00473120">
          <w:rPr>
            <w:rStyle w:val="Lienhypertexte"/>
            <w:noProof/>
          </w:rPr>
          <w:t>Chapitre 2 : La coopération judiciaire</w:t>
        </w:r>
        <w:r>
          <w:rPr>
            <w:noProof/>
            <w:webHidden/>
          </w:rPr>
          <w:tab/>
        </w:r>
      </w:hyperlink>
    </w:p>
    <w:p w:rsidR="00216BC9" w:rsidRDefault="00216BC9" w:rsidP="00216BC9">
      <w:pPr>
        <w:pStyle w:val="TM3"/>
        <w:tabs>
          <w:tab w:val="right" w:leader="dot" w:pos="9056"/>
        </w:tabs>
        <w:rPr>
          <w:noProof/>
        </w:rPr>
      </w:pPr>
      <w:hyperlink w:anchor="_Toc536624850" w:history="1">
        <w:r w:rsidRPr="00473120">
          <w:rPr>
            <w:rStyle w:val="Lienhypertexte"/>
            <w:noProof/>
          </w:rPr>
          <w:t>Section 1 : L’obtention de preuves</w:t>
        </w:r>
        <w:r>
          <w:rPr>
            <w:noProof/>
            <w:webHidden/>
          </w:rPr>
          <w:tab/>
        </w:r>
      </w:hyperlink>
    </w:p>
    <w:p w:rsidR="00216BC9" w:rsidRDefault="00216BC9" w:rsidP="00216BC9">
      <w:pPr>
        <w:pStyle w:val="TM3"/>
        <w:tabs>
          <w:tab w:val="right" w:leader="dot" w:pos="9056"/>
        </w:tabs>
        <w:rPr>
          <w:noProof/>
        </w:rPr>
      </w:pPr>
      <w:hyperlink w:anchor="_Toc536624851" w:history="1">
        <w:r w:rsidRPr="00473120">
          <w:rPr>
            <w:rStyle w:val="Lienhypertexte"/>
            <w:noProof/>
          </w:rPr>
          <w:t>1. Le gel des avoirs et éléments de preuve</w:t>
        </w:r>
        <w:r>
          <w:rPr>
            <w:noProof/>
            <w:webHidden/>
          </w:rPr>
          <w:tab/>
        </w:r>
      </w:hyperlink>
    </w:p>
    <w:p w:rsidR="00216BC9" w:rsidRDefault="00216BC9" w:rsidP="00216BC9">
      <w:pPr>
        <w:pStyle w:val="TM3"/>
        <w:tabs>
          <w:tab w:val="right" w:leader="dot" w:pos="9056"/>
        </w:tabs>
        <w:rPr>
          <w:noProof/>
        </w:rPr>
      </w:pPr>
      <w:hyperlink w:anchor="_Toc536624852" w:history="1">
        <w:r w:rsidRPr="00473120">
          <w:rPr>
            <w:rStyle w:val="Lienhypertexte"/>
            <w:noProof/>
          </w:rPr>
          <w:t>2. L’obtention de preuve proprement dite</w:t>
        </w:r>
        <w:r>
          <w:rPr>
            <w:noProof/>
            <w:webHidden/>
          </w:rPr>
          <w:tab/>
        </w:r>
      </w:hyperlink>
    </w:p>
    <w:p w:rsidR="00216BC9" w:rsidRDefault="00216BC9" w:rsidP="00216BC9">
      <w:pPr>
        <w:pStyle w:val="TM3"/>
        <w:tabs>
          <w:tab w:val="right" w:leader="dot" w:pos="9056"/>
        </w:tabs>
        <w:rPr>
          <w:noProof/>
        </w:rPr>
      </w:pPr>
      <w:hyperlink w:anchor="_Toc536624853" w:history="1">
        <w:r w:rsidRPr="00473120">
          <w:rPr>
            <w:rStyle w:val="Lienhypertexte"/>
            <w:noProof/>
          </w:rPr>
          <w:t>3 : les équipes communes d’enquête</w:t>
        </w:r>
        <w:r>
          <w:rPr>
            <w:noProof/>
            <w:webHidden/>
          </w:rPr>
          <w:tab/>
        </w:r>
      </w:hyperlink>
      <w:bookmarkEnd w:id="0"/>
    </w:p>
    <w:p w:rsidR="00216BC9" w:rsidRDefault="00216BC9" w:rsidP="00216BC9">
      <w:pPr>
        <w:pStyle w:val="TM3"/>
        <w:tabs>
          <w:tab w:val="right" w:leader="dot" w:pos="9056"/>
        </w:tabs>
        <w:rPr>
          <w:noProof/>
        </w:rPr>
      </w:pPr>
      <w:hyperlink w:anchor="_Toc536624854" w:history="1">
        <w:r w:rsidRPr="00473120">
          <w:rPr>
            <w:rStyle w:val="Lienhypertexte"/>
            <w:noProof/>
          </w:rPr>
          <w:t>Section 2 la tentative infructueuse d’éviter les conflits de compétences</w:t>
        </w:r>
        <w:r>
          <w:rPr>
            <w:noProof/>
            <w:webHidden/>
          </w:rPr>
          <w:tab/>
        </w:r>
      </w:hyperlink>
    </w:p>
    <w:p w:rsidR="00216BC9" w:rsidRDefault="00216BC9" w:rsidP="00216BC9">
      <w:pPr>
        <w:pStyle w:val="TM3"/>
        <w:tabs>
          <w:tab w:val="right" w:leader="dot" w:pos="9056"/>
        </w:tabs>
        <w:rPr>
          <w:noProof/>
        </w:rPr>
      </w:pPr>
      <w:hyperlink w:anchor="_Toc536624855" w:history="1">
        <w:r w:rsidRPr="00473120">
          <w:rPr>
            <w:rStyle w:val="Lienhypertexte"/>
            <w:noProof/>
          </w:rPr>
          <w:t>Section 3 : La reconnaissance mutuelle des décisions ante sentencia</w:t>
        </w:r>
        <w:r>
          <w:rPr>
            <w:noProof/>
            <w:webHidden/>
          </w:rPr>
          <w:tab/>
        </w:r>
      </w:hyperlink>
    </w:p>
    <w:p w:rsidR="00216BC9" w:rsidRDefault="00216BC9" w:rsidP="00216BC9">
      <w:pPr>
        <w:pStyle w:val="TM3"/>
        <w:tabs>
          <w:tab w:val="right" w:leader="dot" w:pos="9056"/>
        </w:tabs>
        <w:rPr>
          <w:noProof/>
        </w:rPr>
      </w:pPr>
      <w:hyperlink w:anchor="_Toc536624856" w:history="1">
        <w:r w:rsidRPr="00473120">
          <w:rPr>
            <w:rStyle w:val="Lienhypertexte"/>
            <w:noProof/>
          </w:rPr>
          <w:t>Section 4 : La remise des personnes aux fins de jugement ou d’exécution de condamnation</w:t>
        </w:r>
        <w:r>
          <w:rPr>
            <w:noProof/>
            <w:webHidden/>
          </w:rPr>
          <w:tab/>
        </w:r>
      </w:hyperlink>
    </w:p>
    <w:p w:rsidR="00216BC9" w:rsidRDefault="00216BC9" w:rsidP="00216BC9">
      <w:pPr>
        <w:pStyle w:val="TM3"/>
        <w:tabs>
          <w:tab w:val="right" w:leader="dot" w:pos="9056"/>
        </w:tabs>
        <w:rPr>
          <w:noProof/>
        </w:rPr>
      </w:pPr>
      <w:hyperlink w:anchor="_Toc536624857" w:history="1">
        <w:r w:rsidRPr="00473120">
          <w:rPr>
            <w:rStyle w:val="Lienhypertexte"/>
            <w:noProof/>
          </w:rPr>
          <w:t>Section 5 : Reconnaissance mutuelle des décisions de condamnations</w:t>
        </w:r>
        <w:r>
          <w:rPr>
            <w:noProof/>
            <w:webHidden/>
          </w:rPr>
          <w:tab/>
        </w:r>
      </w:hyperlink>
    </w:p>
    <w:p w:rsidR="00216BC9" w:rsidRDefault="00216BC9" w:rsidP="00216BC9">
      <w:pPr>
        <w:pStyle w:val="TM1"/>
        <w:tabs>
          <w:tab w:val="right" w:leader="dot" w:pos="9056"/>
        </w:tabs>
        <w:rPr>
          <w:b w:val="0"/>
          <w:noProof/>
          <w:sz w:val="22"/>
          <w:szCs w:val="22"/>
        </w:rPr>
      </w:pPr>
      <w:hyperlink w:anchor="_Toc536624858" w:history="1">
        <w:r w:rsidRPr="00473120">
          <w:rPr>
            <w:rStyle w:val="Lienhypertexte"/>
            <w:noProof/>
          </w:rPr>
          <w:t>PARTIE 2 : L’HARMONISATION DU DROIT DES ETATS MEMBRES</w:t>
        </w:r>
        <w:r>
          <w:rPr>
            <w:noProof/>
            <w:webHidden/>
          </w:rPr>
          <w:tab/>
        </w:r>
      </w:hyperlink>
    </w:p>
    <w:p w:rsidR="00216BC9" w:rsidRDefault="00216BC9" w:rsidP="00216BC9">
      <w:pPr>
        <w:pStyle w:val="TM2"/>
        <w:tabs>
          <w:tab w:val="right" w:leader="dot" w:pos="9056"/>
        </w:tabs>
        <w:rPr>
          <w:b w:val="0"/>
          <w:noProof/>
        </w:rPr>
      </w:pPr>
      <w:hyperlink w:anchor="_Toc536624859" w:history="1">
        <w:r w:rsidRPr="00473120">
          <w:rPr>
            <w:rStyle w:val="Lienhypertexte"/>
            <w:noProof/>
          </w:rPr>
          <w:t>Chapitre 1 : Harmonisation ou unification du fond du droit</w:t>
        </w:r>
        <w:r>
          <w:rPr>
            <w:noProof/>
            <w:webHidden/>
          </w:rPr>
          <w:tab/>
        </w:r>
      </w:hyperlink>
    </w:p>
    <w:p w:rsidR="00216BC9" w:rsidRDefault="00216BC9" w:rsidP="00216BC9">
      <w:pPr>
        <w:pStyle w:val="TM3"/>
        <w:tabs>
          <w:tab w:val="right" w:leader="dot" w:pos="9056"/>
        </w:tabs>
        <w:rPr>
          <w:noProof/>
        </w:rPr>
      </w:pPr>
      <w:hyperlink w:anchor="_Toc536624860" w:history="1">
        <w:r w:rsidRPr="00473120">
          <w:rPr>
            <w:rStyle w:val="Lienhypertexte"/>
            <w:noProof/>
          </w:rPr>
          <w:t>Section 1 : Concernant le droit pénal général</w:t>
        </w:r>
        <w:r>
          <w:rPr>
            <w:noProof/>
            <w:webHidden/>
          </w:rPr>
          <w:tab/>
        </w:r>
      </w:hyperlink>
    </w:p>
    <w:p w:rsidR="00216BC9" w:rsidRDefault="00216BC9" w:rsidP="00216BC9">
      <w:pPr>
        <w:pStyle w:val="TM3"/>
        <w:tabs>
          <w:tab w:val="right" w:leader="dot" w:pos="9056"/>
        </w:tabs>
        <w:rPr>
          <w:noProof/>
        </w:rPr>
      </w:pPr>
      <w:hyperlink w:anchor="_Toc536624861" w:history="1">
        <w:r w:rsidRPr="00473120">
          <w:rPr>
            <w:rStyle w:val="Lienhypertexte"/>
            <w:noProof/>
          </w:rPr>
          <w:t>Section 2 : Concernant le droit pénal spécial</w:t>
        </w:r>
        <w:r>
          <w:rPr>
            <w:noProof/>
            <w:webHidden/>
          </w:rPr>
          <w:tab/>
        </w:r>
      </w:hyperlink>
    </w:p>
    <w:p w:rsidR="00216BC9" w:rsidRDefault="00216BC9" w:rsidP="00216BC9">
      <w:pPr>
        <w:pStyle w:val="TM2"/>
        <w:tabs>
          <w:tab w:val="right" w:leader="dot" w:pos="9056"/>
        </w:tabs>
        <w:rPr>
          <w:b w:val="0"/>
          <w:noProof/>
        </w:rPr>
      </w:pPr>
      <w:hyperlink w:anchor="_Toc536624862" w:history="1">
        <w:r w:rsidRPr="00473120">
          <w:rPr>
            <w:rStyle w:val="Lienhypertexte"/>
            <w:noProof/>
          </w:rPr>
          <w:t>Chapitre 2 : Harmonisation ou unification de la procédure pénale : l’exemple de la garde à vue</w:t>
        </w:r>
        <w:r>
          <w:rPr>
            <w:noProof/>
            <w:webHidden/>
          </w:rPr>
          <w:tab/>
        </w:r>
      </w:hyperlink>
    </w:p>
    <w:p w:rsidR="00216BC9" w:rsidRDefault="00216BC9" w:rsidP="00216BC9">
      <w:pPr>
        <w:pStyle w:val="TM3"/>
        <w:tabs>
          <w:tab w:val="right" w:leader="dot" w:pos="9056"/>
        </w:tabs>
        <w:rPr>
          <w:noProof/>
        </w:rPr>
      </w:pPr>
      <w:hyperlink w:anchor="_Toc536624863" w:history="1">
        <w:r w:rsidRPr="00473120">
          <w:rPr>
            <w:rStyle w:val="Lienhypertexte"/>
            <w:noProof/>
          </w:rPr>
          <w:t>Section 1 : Incidence de la CEDH sur le régime de la garde à vue</w:t>
        </w:r>
        <w:r>
          <w:rPr>
            <w:noProof/>
            <w:webHidden/>
          </w:rPr>
          <w:tab/>
        </w:r>
      </w:hyperlink>
    </w:p>
    <w:p w:rsidR="00216BC9" w:rsidRDefault="00216BC9" w:rsidP="00216BC9">
      <w:pPr>
        <w:pStyle w:val="TM3"/>
        <w:tabs>
          <w:tab w:val="right" w:leader="dot" w:pos="9056"/>
        </w:tabs>
        <w:rPr>
          <w:noProof/>
        </w:rPr>
      </w:pPr>
      <w:hyperlink w:anchor="_Toc536624864" w:history="1">
        <w:r w:rsidRPr="00473120">
          <w:rPr>
            <w:rStyle w:val="Lienhypertexte"/>
            <w:noProof/>
          </w:rPr>
          <w:t>Section 2 : Incidence du droit de l’UE sur le régime de la garde à vue</w:t>
        </w:r>
        <w:r>
          <w:rPr>
            <w:noProof/>
            <w:webHidden/>
          </w:rPr>
          <w:tab/>
        </w:r>
      </w:hyperlink>
    </w:p>
    <w:p w:rsidR="00F95B65" w:rsidRDefault="00216BC9" w:rsidP="00216BC9">
      <w:r>
        <w:fldChar w:fldCharType="end"/>
      </w:r>
    </w:p>
    <w:sectPr w:rsidR="00F95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C9"/>
    <w:rsid w:val="0015205F"/>
    <w:rsid w:val="00216BC9"/>
    <w:rsid w:val="002E711A"/>
    <w:rsid w:val="006846C0"/>
    <w:rsid w:val="00BE4F85"/>
    <w:rsid w:val="00F9355D"/>
    <w:rsid w:val="00F95B65"/>
    <w:rsid w:val="00FF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86B37"/>
  <w15:chartTrackingRefBased/>
  <w15:docId w15:val="{40311B91-C310-46E8-A02C-BA9B7E70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Calibri" w:hAnsi="Times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6BC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F9355D"/>
    <w:pPr>
      <w:keepNext/>
      <w:outlineLvl w:val="0"/>
    </w:pPr>
    <w:rPr>
      <w:b/>
      <w:szCs w:val="18"/>
      <w:u w:val="single"/>
    </w:rPr>
  </w:style>
  <w:style w:type="paragraph" w:styleId="Titre2">
    <w:name w:val="heading 2"/>
    <w:basedOn w:val="Normal"/>
    <w:next w:val="Normal"/>
    <w:link w:val="Titre2Car"/>
    <w:unhideWhenUsed/>
    <w:qFormat/>
    <w:rsid w:val="00F9355D"/>
    <w:pPr>
      <w:keepNext/>
      <w:keepLines/>
      <w:spacing w:before="200"/>
      <w:ind w:left="1494" w:hanging="360"/>
      <w:outlineLvl w:val="1"/>
    </w:pPr>
    <w:rPr>
      <w:rFonts w:cs="Tahoma"/>
      <w:b/>
      <w:bCs/>
      <w:i/>
      <w:szCs w:val="18"/>
      <w:u w:val="single"/>
    </w:rPr>
  </w:style>
  <w:style w:type="paragraph" w:styleId="Titre3">
    <w:name w:val="heading 3"/>
    <w:basedOn w:val="Normal"/>
    <w:next w:val="Normal"/>
    <w:link w:val="Titre3Car"/>
    <w:unhideWhenUsed/>
    <w:qFormat/>
    <w:rsid w:val="00F9355D"/>
    <w:pPr>
      <w:keepNext/>
      <w:keepLines/>
      <w:spacing w:before="200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nhideWhenUsed/>
    <w:qFormat/>
    <w:rsid w:val="00F9355D"/>
    <w:pPr>
      <w:keepNext/>
      <w:spacing w:before="240" w:after="60"/>
      <w:outlineLvl w:val="3"/>
    </w:pPr>
    <w:rPr>
      <w:b/>
      <w:bCs/>
      <w:i/>
      <w:u w:val="single"/>
    </w:rPr>
  </w:style>
  <w:style w:type="paragraph" w:styleId="Titre5">
    <w:name w:val="heading 5"/>
    <w:basedOn w:val="Normal"/>
    <w:next w:val="Normal"/>
    <w:link w:val="Titre5Car"/>
    <w:unhideWhenUsed/>
    <w:qFormat/>
    <w:rsid w:val="00F9355D"/>
    <w:pPr>
      <w:spacing w:before="240" w:after="60"/>
      <w:outlineLvl w:val="4"/>
    </w:pPr>
    <w:rPr>
      <w:b/>
      <w:bCs/>
      <w:iCs/>
    </w:rPr>
  </w:style>
  <w:style w:type="paragraph" w:styleId="Titre6">
    <w:name w:val="heading 6"/>
    <w:basedOn w:val="Normal"/>
    <w:next w:val="Normal"/>
    <w:link w:val="Titre6Car"/>
    <w:unhideWhenUsed/>
    <w:qFormat/>
    <w:rsid w:val="00F9355D"/>
    <w:pPr>
      <w:spacing w:before="240" w:after="60"/>
      <w:outlineLvl w:val="5"/>
    </w:pPr>
    <w:rPr>
      <w:b/>
      <w:bCs/>
      <w:u w:val="single"/>
    </w:rPr>
  </w:style>
  <w:style w:type="paragraph" w:styleId="Titre7">
    <w:name w:val="heading 7"/>
    <w:basedOn w:val="Normal"/>
    <w:next w:val="Normal"/>
    <w:link w:val="Titre7Car"/>
    <w:unhideWhenUsed/>
    <w:qFormat/>
    <w:rsid w:val="00F9355D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nhideWhenUsed/>
    <w:qFormat/>
    <w:rsid w:val="00F9355D"/>
    <w:pPr>
      <w:spacing w:before="240" w:after="60"/>
      <w:outlineLvl w:val="7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F9355D"/>
    <w:rPr>
      <w:b/>
      <w:szCs w:val="18"/>
      <w:u w:val="single"/>
      <w:lang w:eastAsia="fr-FR"/>
    </w:rPr>
  </w:style>
  <w:style w:type="character" w:customStyle="1" w:styleId="Titre2Car">
    <w:name w:val="Titre 2 Car"/>
    <w:link w:val="Titre2"/>
    <w:rsid w:val="00F9355D"/>
    <w:rPr>
      <w:rFonts w:cs="Tahoma"/>
      <w:b/>
      <w:bCs/>
      <w:i/>
      <w:szCs w:val="18"/>
      <w:u w:val="single"/>
      <w:lang w:eastAsia="fr-FR"/>
    </w:rPr>
  </w:style>
  <w:style w:type="character" w:customStyle="1" w:styleId="Titre3Car">
    <w:name w:val="Titre 3 Car"/>
    <w:link w:val="Titre3"/>
    <w:rsid w:val="00F9355D"/>
    <w:rPr>
      <w:b/>
      <w:bCs/>
      <w:lang w:eastAsia="fr-FR"/>
    </w:rPr>
  </w:style>
  <w:style w:type="character" w:customStyle="1" w:styleId="Titre4Car">
    <w:name w:val="Titre 4 Car"/>
    <w:link w:val="Titre4"/>
    <w:rsid w:val="00F9355D"/>
    <w:rPr>
      <w:b/>
      <w:bCs/>
      <w:i/>
      <w:u w:val="single"/>
      <w:lang w:eastAsia="fr-FR"/>
    </w:rPr>
  </w:style>
  <w:style w:type="character" w:customStyle="1" w:styleId="Titre5Car">
    <w:name w:val="Titre 5 Car"/>
    <w:link w:val="Titre5"/>
    <w:rsid w:val="00F9355D"/>
    <w:rPr>
      <w:b/>
      <w:bCs/>
      <w:iCs/>
      <w:lang w:eastAsia="fr-FR"/>
    </w:rPr>
  </w:style>
  <w:style w:type="character" w:customStyle="1" w:styleId="Titre6Car">
    <w:name w:val="Titre 6 Car"/>
    <w:link w:val="Titre6"/>
    <w:rsid w:val="00F9355D"/>
    <w:rPr>
      <w:b/>
      <w:bCs/>
      <w:u w:val="single"/>
      <w:lang w:eastAsia="fr-FR"/>
    </w:rPr>
  </w:style>
  <w:style w:type="character" w:customStyle="1" w:styleId="Titre7Car">
    <w:name w:val="Titre 7 Car"/>
    <w:link w:val="Titre7"/>
    <w:rsid w:val="00F9355D"/>
    <w:rPr>
      <w:sz w:val="24"/>
      <w:szCs w:val="24"/>
      <w:lang w:eastAsia="fr-FR"/>
    </w:rPr>
  </w:style>
  <w:style w:type="character" w:customStyle="1" w:styleId="Titre8Car">
    <w:name w:val="Titre 8 Car"/>
    <w:link w:val="Titre8"/>
    <w:rsid w:val="00F9355D"/>
    <w:rPr>
      <w:i/>
      <w:iCs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qFormat/>
    <w:rsid w:val="00F9355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rsid w:val="00F9355D"/>
    <w:rPr>
      <w:rFonts w:ascii="Cambria" w:hAnsi="Cambria"/>
      <w:color w:val="17365D"/>
      <w:spacing w:val="5"/>
      <w:kern w:val="28"/>
      <w:sz w:val="52"/>
      <w:szCs w:val="52"/>
      <w:lang w:eastAsia="fr-FR"/>
    </w:rPr>
  </w:style>
  <w:style w:type="paragraph" w:styleId="Sous-titre">
    <w:name w:val="Subtitle"/>
    <w:basedOn w:val="Normal"/>
    <w:next w:val="Normal"/>
    <w:link w:val="Sous-titreCar"/>
    <w:qFormat/>
    <w:rsid w:val="00F9355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ous-titreCar">
    <w:name w:val="Sous-titre Car"/>
    <w:link w:val="Sous-titre"/>
    <w:rsid w:val="00F9355D"/>
    <w:rPr>
      <w:rFonts w:ascii="Cambria" w:hAnsi="Cambria"/>
      <w:i/>
      <w:iCs/>
      <w:color w:val="4F81BD"/>
      <w:spacing w:val="15"/>
      <w:sz w:val="24"/>
      <w:szCs w:val="24"/>
      <w:lang w:eastAsia="fr-FR"/>
    </w:rPr>
  </w:style>
  <w:style w:type="character" w:styleId="lev">
    <w:name w:val="Strong"/>
    <w:uiPriority w:val="22"/>
    <w:qFormat/>
    <w:rsid w:val="00F9355D"/>
    <w:rPr>
      <w:b/>
      <w:bCs/>
    </w:rPr>
  </w:style>
  <w:style w:type="paragraph" w:styleId="Paragraphedeliste">
    <w:name w:val="List Paragraph"/>
    <w:basedOn w:val="Normal"/>
    <w:uiPriority w:val="34"/>
    <w:qFormat/>
    <w:rsid w:val="00F9355D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9355D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u w:val="none"/>
    </w:rPr>
  </w:style>
  <w:style w:type="character" w:customStyle="1" w:styleId="surligne">
    <w:name w:val="surligne"/>
    <w:rsid w:val="00F9355D"/>
  </w:style>
  <w:style w:type="paragraph" w:customStyle="1" w:styleId="ju-005fpara">
    <w:name w:val="ju-005fpara"/>
    <w:basedOn w:val="Normal"/>
    <w:rsid w:val="00F9355D"/>
    <w:pPr>
      <w:spacing w:before="100" w:beforeAutospacing="1" w:after="100" w:afterAutospacing="1"/>
    </w:pPr>
  </w:style>
  <w:style w:type="character" w:customStyle="1" w:styleId="ju-005fpara--char">
    <w:name w:val="ju-005fpara--char"/>
    <w:rsid w:val="00F9355D"/>
  </w:style>
  <w:style w:type="paragraph" w:customStyle="1" w:styleId="JuPara">
    <w:name w:val="Ju_Para"/>
    <w:basedOn w:val="Normal"/>
    <w:rsid w:val="00F9355D"/>
    <w:pPr>
      <w:ind w:firstLine="284"/>
    </w:pPr>
    <w:rPr>
      <w:lang w:val="en-GB"/>
    </w:rPr>
  </w:style>
  <w:style w:type="character" w:customStyle="1" w:styleId="apple-converted-space">
    <w:name w:val="apple-converted-space"/>
    <w:rsid w:val="00F9355D"/>
  </w:style>
  <w:style w:type="paragraph" w:styleId="TM1">
    <w:name w:val="toc 1"/>
    <w:basedOn w:val="Normal"/>
    <w:next w:val="Normal"/>
    <w:autoRedefine/>
    <w:uiPriority w:val="39"/>
    <w:rsid w:val="00F9355D"/>
    <w:pPr>
      <w:spacing w:before="360"/>
    </w:pPr>
    <w:rPr>
      <w:rFonts w:ascii="Arial" w:hAnsi="Arial" w:cs="Arial"/>
      <w:b/>
      <w:bCs/>
      <w:caps/>
    </w:rPr>
  </w:style>
  <w:style w:type="paragraph" w:styleId="TM2">
    <w:name w:val="toc 2"/>
    <w:basedOn w:val="Normal"/>
    <w:next w:val="Normal"/>
    <w:autoRedefine/>
    <w:uiPriority w:val="39"/>
    <w:rsid w:val="00F9355D"/>
    <w:pPr>
      <w:spacing w:before="240"/>
    </w:pPr>
    <w:rPr>
      <w:b/>
      <w:bCs/>
    </w:rPr>
  </w:style>
  <w:style w:type="paragraph" w:styleId="TM3">
    <w:name w:val="toc 3"/>
    <w:basedOn w:val="Normal"/>
    <w:next w:val="Normal"/>
    <w:autoRedefine/>
    <w:uiPriority w:val="39"/>
    <w:rsid w:val="00F9355D"/>
    <w:pPr>
      <w:ind w:left="200"/>
    </w:pPr>
  </w:style>
  <w:style w:type="paragraph" w:styleId="TM4">
    <w:name w:val="toc 4"/>
    <w:basedOn w:val="Normal"/>
    <w:next w:val="Normal"/>
    <w:autoRedefine/>
    <w:uiPriority w:val="39"/>
    <w:rsid w:val="00F9355D"/>
    <w:pPr>
      <w:ind w:left="400"/>
    </w:pPr>
  </w:style>
  <w:style w:type="paragraph" w:styleId="TM5">
    <w:name w:val="toc 5"/>
    <w:basedOn w:val="Normal"/>
    <w:next w:val="Normal"/>
    <w:autoRedefine/>
    <w:uiPriority w:val="39"/>
    <w:rsid w:val="00F9355D"/>
    <w:pPr>
      <w:ind w:left="600"/>
    </w:pPr>
  </w:style>
  <w:style w:type="paragraph" w:styleId="TM6">
    <w:name w:val="toc 6"/>
    <w:basedOn w:val="Normal"/>
    <w:next w:val="Normal"/>
    <w:autoRedefine/>
    <w:uiPriority w:val="39"/>
    <w:rsid w:val="00F9355D"/>
    <w:pPr>
      <w:ind w:left="800"/>
    </w:pPr>
  </w:style>
  <w:style w:type="paragraph" w:styleId="TM7">
    <w:name w:val="toc 7"/>
    <w:basedOn w:val="Normal"/>
    <w:next w:val="Normal"/>
    <w:autoRedefine/>
    <w:uiPriority w:val="39"/>
    <w:rsid w:val="00F9355D"/>
    <w:pPr>
      <w:ind w:left="1000"/>
    </w:pPr>
  </w:style>
  <w:style w:type="paragraph" w:styleId="TM8">
    <w:name w:val="toc 8"/>
    <w:basedOn w:val="Normal"/>
    <w:next w:val="Normal"/>
    <w:autoRedefine/>
    <w:uiPriority w:val="39"/>
    <w:rsid w:val="00F9355D"/>
    <w:pPr>
      <w:ind w:left="1200"/>
    </w:pPr>
  </w:style>
  <w:style w:type="paragraph" w:styleId="TM9">
    <w:name w:val="toc 9"/>
    <w:basedOn w:val="Normal"/>
    <w:next w:val="Normal"/>
    <w:autoRedefine/>
    <w:uiPriority w:val="39"/>
    <w:rsid w:val="00F9355D"/>
    <w:pPr>
      <w:ind w:left="1400"/>
    </w:pPr>
  </w:style>
  <w:style w:type="paragraph" w:styleId="Notedebasdepage">
    <w:name w:val="footnote text"/>
    <w:basedOn w:val="Normal"/>
    <w:link w:val="NotedebasdepageCar"/>
    <w:semiHidden/>
    <w:unhideWhenUsed/>
    <w:rsid w:val="00F9355D"/>
  </w:style>
  <w:style w:type="character" w:customStyle="1" w:styleId="NotedebasdepageCar">
    <w:name w:val="Note de bas de page Car"/>
    <w:basedOn w:val="Policepardfaut"/>
    <w:link w:val="Notedebasdepage"/>
    <w:semiHidden/>
    <w:rsid w:val="00F9355D"/>
    <w:rPr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9355D"/>
  </w:style>
  <w:style w:type="character" w:customStyle="1" w:styleId="CommentaireCar">
    <w:name w:val="Commentaire Car"/>
    <w:basedOn w:val="Policepardfaut"/>
    <w:link w:val="Commentaire"/>
    <w:uiPriority w:val="99"/>
    <w:semiHidden/>
    <w:rsid w:val="00F9355D"/>
    <w:rPr>
      <w:lang w:eastAsia="fr-FR"/>
    </w:rPr>
  </w:style>
  <w:style w:type="paragraph" w:styleId="En-tte">
    <w:name w:val="header"/>
    <w:basedOn w:val="Normal"/>
    <w:link w:val="En-tteCar"/>
    <w:rsid w:val="00F9355D"/>
    <w:pPr>
      <w:tabs>
        <w:tab w:val="center" w:pos="4536"/>
      </w:tabs>
    </w:pPr>
  </w:style>
  <w:style w:type="character" w:customStyle="1" w:styleId="En-tteCar">
    <w:name w:val="En-tête Car"/>
    <w:basedOn w:val="Policepardfaut"/>
    <w:link w:val="En-tte"/>
    <w:rsid w:val="00F9355D"/>
    <w:rPr>
      <w:lang w:eastAsia="fr-FR"/>
    </w:rPr>
  </w:style>
  <w:style w:type="paragraph" w:styleId="Pieddepage">
    <w:name w:val="footer"/>
    <w:basedOn w:val="Normal"/>
    <w:link w:val="PieddepageCar"/>
    <w:rsid w:val="00F9355D"/>
    <w:pPr>
      <w:tabs>
        <w:tab w:val="center" w:pos="4536"/>
      </w:tabs>
    </w:pPr>
  </w:style>
  <w:style w:type="character" w:customStyle="1" w:styleId="PieddepageCar">
    <w:name w:val="Pied de page Car"/>
    <w:basedOn w:val="Policepardfaut"/>
    <w:link w:val="Pieddepage"/>
    <w:rsid w:val="00F9355D"/>
    <w:rPr>
      <w:lang w:eastAsia="fr-FR"/>
    </w:rPr>
  </w:style>
  <w:style w:type="character" w:styleId="Appelnotedebasdep">
    <w:name w:val="footnote reference"/>
    <w:unhideWhenUsed/>
    <w:rsid w:val="00F9355D"/>
    <w:rPr>
      <w:vertAlign w:val="superscript"/>
    </w:rPr>
  </w:style>
  <w:style w:type="character" w:styleId="Marquedecommentaire">
    <w:name w:val="annotation reference"/>
    <w:unhideWhenUsed/>
    <w:rsid w:val="00F9355D"/>
    <w:rPr>
      <w:sz w:val="16"/>
      <w:szCs w:val="16"/>
    </w:rPr>
  </w:style>
  <w:style w:type="character" w:styleId="Numrodepage">
    <w:name w:val="page number"/>
    <w:rsid w:val="00F9355D"/>
  </w:style>
  <w:style w:type="character" w:styleId="Appeldenotedefin">
    <w:name w:val="endnote reference"/>
    <w:uiPriority w:val="99"/>
    <w:semiHidden/>
    <w:unhideWhenUsed/>
    <w:rsid w:val="00F9355D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9355D"/>
  </w:style>
  <w:style w:type="character" w:customStyle="1" w:styleId="NotedefinCar">
    <w:name w:val="Note de fin Car"/>
    <w:basedOn w:val="Policepardfaut"/>
    <w:link w:val="Notedefin"/>
    <w:uiPriority w:val="99"/>
    <w:semiHidden/>
    <w:rsid w:val="00F9355D"/>
    <w:rPr>
      <w:lang w:eastAsia="fr-FR"/>
    </w:rPr>
  </w:style>
  <w:style w:type="paragraph" w:styleId="Corpsdetexte">
    <w:name w:val="Body Text"/>
    <w:basedOn w:val="Normal"/>
    <w:link w:val="CorpsdetexteCar"/>
    <w:rsid w:val="00F9355D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F9355D"/>
    <w:rPr>
      <w:lang w:eastAsia="fr-FR"/>
    </w:rPr>
  </w:style>
  <w:style w:type="paragraph" w:styleId="Retraitcorpsdetexte2">
    <w:name w:val="Body Text Indent 2"/>
    <w:basedOn w:val="Normal"/>
    <w:link w:val="Retraitcorpsdetexte2Car"/>
    <w:rsid w:val="00F9355D"/>
    <w:pPr>
      <w:ind w:left="1160"/>
    </w:pPr>
  </w:style>
  <w:style w:type="character" w:customStyle="1" w:styleId="Retraitcorpsdetexte2Car">
    <w:name w:val="Retrait corps de texte 2 Car"/>
    <w:basedOn w:val="Policepardfaut"/>
    <w:link w:val="Retraitcorpsdetexte2"/>
    <w:rsid w:val="00F9355D"/>
    <w:rPr>
      <w:lang w:eastAsia="fr-FR"/>
    </w:rPr>
  </w:style>
  <w:style w:type="character" w:styleId="Lienhypertexte">
    <w:name w:val="Hyperlink"/>
    <w:uiPriority w:val="99"/>
    <w:rsid w:val="00F9355D"/>
    <w:rPr>
      <w:color w:val="0000FF"/>
      <w:u w:val="single"/>
    </w:rPr>
  </w:style>
  <w:style w:type="paragraph" w:styleId="NormalWeb">
    <w:name w:val="Normal (Web)"/>
    <w:basedOn w:val="Normal"/>
    <w:uiPriority w:val="99"/>
    <w:rsid w:val="00F9355D"/>
    <w:pPr>
      <w:spacing w:before="100" w:beforeAutospacing="1" w:after="100" w:afterAutospacing="1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935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F9355D"/>
    <w:rPr>
      <w:b/>
      <w:bCs/>
      <w:lang w:eastAsia="fr-FR"/>
    </w:rPr>
  </w:style>
  <w:style w:type="paragraph" w:styleId="Textedebulles">
    <w:name w:val="Balloon Text"/>
    <w:basedOn w:val="Normal"/>
    <w:link w:val="TextedebullesCar"/>
    <w:unhideWhenUsed/>
    <w:rsid w:val="00F9355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F9355D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THELLIER DE PONCHEVILLE Blandine</dc:creator>
  <cp:keywords/>
  <dc:description/>
  <cp:lastModifiedBy>THELLIER DE PONCHEVILLE Blandine</cp:lastModifiedBy>
  <cp:revision>2</cp:revision>
  <dcterms:created xsi:type="dcterms:W3CDTF">2019-01-30T14:24:00Z</dcterms:created>
  <dcterms:modified xsi:type="dcterms:W3CDTF">2019-01-30T14:27:00Z</dcterms:modified>
</cp:coreProperties>
</file>