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B9" w:rsidRPr="00F058C2" w:rsidRDefault="00DB4BB9" w:rsidP="00DB4BB9">
      <w:pPr>
        <w:jc w:val="center"/>
        <w:rPr>
          <w:rFonts w:ascii="Garamond" w:hAnsi="Garamond"/>
          <w:b/>
          <w:sz w:val="28"/>
        </w:rPr>
      </w:pPr>
      <w:bookmarkStart w:id="0" w:name="_GoBack"/>
      <w:r w:rsidRPr="00F058C2">
        <w:rPr>
          <w:rFonts w:ascii="Garamond" w:hAnsi="Garamond"/>
          <w:b/>
          <w:sz w:val="28"/>
        </w:rPr>
        <w:t>FINANCES PUBLIQUE LOCALES</w:t>
      </w:r>
    </w:p>
    <w:bookmarkEnd w:id="0"/>
    <w:p w:rsidR="00DB4BB9" w:rsidRPr="00F058C2" w:rsidRDefault="00DB4BB9" w:rsidP="00DB4BB9">
      <w:pPr>
        <w:jc w:val="center"/>
        <w:rPr>
          <w:rFonts w:ascii="Garamond" w:hAnsi="Garamond"/>
          <w:b/>
          <w:sz w:val="28"/>
        </w:rPr>
      </w:pPr>
      <w:r w:rsidRPr="00F058C2">
        <w:rPr>
          <w:rFonts w:ascii="Garamond" w:hAnsi="Garamond"/>
          <w:b/>
          <w:sz w:val="28"/>
        </w:rPr>
        <w:t>DAMIEN CATTEAU</w:t>
      </w:r>
    </w:p>
    <w:p w:rsidR="00DB4BB9" w:rsidRPr="00F058C2" w:rsidRDefault="00DB4BB9" w:rsidP="00DB4BB9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___________</w:t>
      </w:r>
    </w:p>
    <w:p w:rsidR="00DB4BB9" w:rsidRPr="00F058C2" w:rsidRDefault="00DB4BB9" w:rsidP="00DB4BB9">
      <w:pPr>
        <w:jc w:val="center"/>
        <w:rPr>
          <w:rFonts w:ascii="Garamond" w:hAnsi="Garamond"/>
          <w:b/>
          <w:sz w:val="24"/>
        </w:rPr>
      </w:pPr>
      <w:r w:rsidRPr="00F058C2">
        <w:rPr>
          <w:rFonts w:ascii="Garamond" w:hAnsi="Garamond"/>
          <w:b/>
          <w:sz w:val="24"/>
        </w:rPr>
        <w:t>PLAN INDICATIF DU COURS</w:t>
      </w:r>
    </w:p>
    <w:p w:rsidR="00DB4BB9" w:rsidRPr="00DA54F3" w:rsidRDefault="00DB4BB9" w:rsidP="00DB4BB9">
      <w:pPr>
        <w:pStyle w:val="Sansinterligne"/>
        <w:rPr>
          <w:rFonts w:ascii="Garamond" w:hAnsi="Garamond"/>
          <w:b/>
        </w:rPr>
      </w:pPr>
      <w:r w:rsidRPr="00DA54F3">
        <w:rPr>
          <w:rFonts w:ascii="Garamond" w:hAnsi="Garamond"/>
          <w:b/>
        </w:rPr>
        <w:t>INTRODUCTION GÉNÉRALE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1 – L’apparition des finances locales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2 – Les décentralisations et l’autonomisation des finances locales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3 – Les nouveaux enjeux des finances locales</w:t>
      </w:r>
    </w:p>
    <w:p w:rsidR="00DB4BB9" w:rsidRDefault="00DB4BB9" w:rsidP="00DB4BB9">
      <w:pPr>
        <w:pStyle w:val="Sansinterligne"/>
        <w:rPr>
          <w:rFonts w:ascii="Garamond" w:hAnsi="Garamond"/>
          <w:b/>
        </w:rPr>
      </w:pPr>
    </w:p>
    <w:p w:rsidR="00DB4BB9" w:rsidRPr="00DA54F3" w:rsidRDefault="00DB4BB9" w:rsidP="00DB4BB9">
      <w:pPr>
        <w:pStyle w:val="Sansinterligne"/>
        <w:rPr>
          <w:rFonts w:ascii="Garamond" w:hAnsi="Garamond"/>
          <w:b/>
        </w:rPr>
      </w:pPr>
      <w:r w:rsidRPr="00DA54F3">
        <w:rPr>
          <w:rFonts w:ascii="Garamond" w:hAnsi="Garamond"/>
          <w:b/>
        </w:rPr>
        <w:t>CHAPITRE 1 – LES PRINCIPES GÉNÉRAUX DES FINANCES LOCALES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1 – L’autonomie financière des collectivités locales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1 – Une autonomie largement virtuelle ?</w:t>
      </w:r>
    </w:p>
    <w:p w:rsidR="00DB4BB9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2 – Une autonomie constitutionnellement renforcée ?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>
        <w:rPr>
          <w:rFonts w:ascii="Garamond" w:hAnsi="Garamond"/>
        </w:rPr>
        <w:t>Paragraphe 3 – Les perspectives et l’avenir incertain du principe.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2 – Les mécanismes correcteurs des finances locales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1 – L’équilibre des transferts : Le principe compensation des transferts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2 – L’égalité entre collectivités locales : Le principe de péréquation</w:t>
      </w:r>
    </w:p>
    <w:p w:rsidR="00DB4BB9" w:rsidRDefault="00DB4BB9" w:rsidP="00DB4BB9">
      <w:pPr>
        <w:pStyle w:val="Sansinterligne"/>
        <w:rPr>
          <w:rFonts w:ascii="Garamond" w:hAnsi="Garamond"/>
          <w:b/>
        </w:rPr>
      </w:pPr>
    </w:p>
    <w:p w:rsidR="00DB4BB9" w:rsidRPr="00DA54F3" w:rsidRDefault="00DB4BB9" w:rsidP="00DB4BB9">
      <w:pPr>
        <w:pStyle w:val="Sansinterligne"/>
        <w:rPr>
          <w:rFonts w:ascii="Garamond" w:hAnsi="Garamond"/>
          <w:b/>
        </w:rPr>
      </w:pPr>
      <w:r w:rsidRPr="00DA54F3">
        <w:rPr>
          <w:rFonts w:ascii="Garamond" w:hAnsi="Garamond"/>
          <w:b/>
        </w:rPr>
        <w:t>CHAPITRE 2 – LE CADRE BUDGÉTAIRE ET COMPTABLE LOCAL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1 – Les principes budgétaires locaux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1 – Le principe d’annualité budgétaire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2 – L’unité et l’universalité budgétaires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3 – Le principe de spécialité budgétaire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4 – Le principe d’équilibre réel et sincère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2 – Le cadre technique des Finances locales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1 – La comptabilité publique locale : les instructions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2 – Les documents budgétaires</w:t>
      </w:r>
    </w:p>
    <w:p w:rsidR="00DB4BB9" w:rsidRDefault="00DB4BB9" w:rsidP="00DB4BB9">
      <w:pPr>
        <w:pStyle w:val="Sansinterligne"/>
        <w:rPr>
          <w:rFonts w:ascii="Garamond" w:hAnsi="Garamond"/>
          <w:b/>
        </w:rPr>
      </w:pPr>
    </w:p>
    <w:p w:rsidR="00DB4BB9" w:rsidRPr="00DA54F3" w:rsidRDefault="00DB4BB9" w:rsidP="00DB4BB9">
      <w:pPr>
        <w:pStyle w:val="Sansinterligne"/>
        <w:rPr>
          <w:rFonts w:ascii="Garamond" w:hAnsi="Garamond"/>
          <w:b/>
        </w:rPr>
      </w:pPr>
      <w:r w:rsidRPr="00DA54F3">
        <w:rPr>
          <w:rFonts w:ascii="Garamond" w:hAnsi="Garamond"/>
          <w:b/>
        </w:rPr>
        <w:t>CHAPITRE 3 – LA PROCÉDURE BUDGÉTAIRE LOCALE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1 – La préparation des budgets locaux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1 – L’élaboration du projet de budget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2 – Le débat d’orientation budgétaire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2 – L’adoption des budgets locaux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1 – L’examen préliminaire du projet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2 – La discussion et l’adoption du budget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3 – La transmission et le contrôle des budgets locaux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1 – La transmission et le contrôle de légalité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2 – Le contrôle budgétaire exercé par les Chambres régionales des comptes</w:t>
      </w:r>
    </w:p>
    <w:p w:rsidR="00DB4BB9" w:rsidRDefault="00DB4BB9" w:rsidP="00DB4BB9">
      <w:pPr>
        <w:pStyle w:val="Sansinterligne"/>
        <w:rPr>
          <w:rFonts w:ascii="Garamond" w:hAnsi="Garamond"/>
          <w:b/>
        </w:rPr>
      </w:pPr>
    </w:p>
    <w:p w:rsidR="00DB4BB9" w:rsidRPr="00DA54F3" w:rsidRDefault="00DB4BB9" w:rsidP="00DB4BB9">
      <w:pPr>
        <w:pStyle w:val="Sansinterligne"/>
        <w:rPr>
          <w:rFonts w:ascii="Garamond" w:hAnsi="Garamond"/>
          <w:b/>
        </w:rPr>
      </w:pPr>
      <w:r w:rsidRPr="00DA54F3">
        <w:rPr>
          <w:rFonts w:ascii="Garamond" w:hAnsi="Garamond"/>
          <w:b/>
        </w:rPr>
        <w:t>CHAPITRE 4 – L’EXÉCUTION ET LE CONTRÔLE DES BUDGETS LOCAUX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1 – Les agents de l’exécution budgétaire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1 – Les catégories d’agents de l’exécution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2 – La séparation des ordonnateurs et des comptables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 w:rsidRPr="00DA54F3">
        <w:rPr>
          <w:rFonts w:ascii="Garamond" w:hAnsi="Garamond"/>
        </w:rPr>
        <w:t>Section 2 – La procédure d’exécution budgétaire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1 – La procédure de l’exécution des dépenses</w:t>
      </w:r>
    </w:p>
    <w:p w:rsidR="00DB4BB9" w:rsidRPr="00DA54F3" w:rsidRDefault="00DB4BB9" w:rsidP="00DB4BB9">
      <w:pPr>
        <w:pStyle w:val="Sansinterligne"/>
        <w:ind w:left="1416"/>
        <w:rPr>
          <w:rFonts w:ascii="Garamond" w:hAnsi="Garamond"/>
        </w:rPr>
      </w:pPr>
      <w:r w:rsidRPr="00DA54F3">
        <w:rPr>
          <w:rFonts w:ascii="Garamond" w:hAnsi="Garamond"/>
        </w:rPr>
        <w:t>Paragraphe 2 – La procédure de l’exécution des recettes</w:t>
      </w:r>
    </w:p>
    <w:p w:rsidR="00DB4BB9" w:rsidRPr="00DA54F3" w:rsidRDefault="00DB4BB9" w:rsidP="00DB4BB9">
      <w:pPr>
        <w:pStyle w:val="Sansinterligne"/>
        <w:ind w:left="708"/>
        <w:rPr>
          <w:rFonts w:ascii="Garamond" w:hAnsi="Garamond"/>
        </w:rPr>
      </w:pPr>
      <w:r>
        <w:rPr>
          <w:rFonts w:ascii="Garamond" w:hAnsi="Garamond"/>
        </w:rPr>
        <w:t>Section</w:t>
      </w:r>
      <w:r w:rsidRPr="00DA54F3">
        <w:rPr>
          <w:rFonts w:ascii="Garamond" w:hAnsi="Garamond"/>
        </w:rPr>
        <w:t xml:space="preserve"> 3 – Les contrôles sur les finances locales</w:t>
      </w:r>
    </w:p>
    <w:p w:rsidR="004702D5" w:rsidRPr="002513DA" w:rsidRDefault="004702D5" w:rsidP="002513DA"/>
    <w:sectPr w:rsidR="004702D5" w:rsidRPr="0025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663E"/>
    <w:multiLevelType w:val="hybridMultilevel"/>
    <w:tmpl w:val="58D8A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012E3"/>
    <w:multiLevelType w:val="hybridMultilevel"/>
    <w:tmpl w:val="92600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10C01"/>
    <w:multiLevelType w:val="hybridMultilevel"/>
    <w:tmpl w:val="D302A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BC"/>
    <w:rsid w:val="002513DA"/>
    <w:rsid w:val="004702D5"/>
    <w:rsid w:val="006B18F0"/>
    <w:rsid w:val="00A710BC"/>
    <w:rsid w:val="00DB4BB9"/>
    <w:rsid w:val="00F0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3F037-1C7B-4BB7-9FE7-C8A815DD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B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A710BC"/>
    <w:pPr>
      <w:spacing w:after="0" w:line="240" w:lineRule="auto"/>
      <w:ind w:left="720"/>
      <w:contextualSpacing/>
    </w:pPr>
    <w:rPr>
      <w:rFonts w:ascii="(Utiliser une police de caractè" w:eastAsia="SimSun" w:hAnsi="(Utiliser une police de caractè" w:cs="Times New Roman"/>
      <w:iCs/>
      <w:sz w:val="24"/>
      <w:szCs w:val="24"/>
      <w:lang w:eastAsia="zh-CN"/>
    </w:rPr>
  </w:style>
  <w:style w:type="character" w:customStyle="1" w:styleId="ParagraphedelisteCar">
    <w:name w:val="Paragraphe de liste Car"/>
    <w:link w:val="Paragraphedeliste"/>
    <w:uiPriority w:val="34"/>
    <w:rsid w:val="00A710BC"/>
    <w:rPr>
      <w:rFonts w:ascii="(Utiliser une police de caractè" w:eastAsia="SimSun" w:hAnsi="(Utiliser une police de caractè" w:cs="Times New Roman"/>
      <w:iCs/>
      <w:sz w:val="24"/>
      <w:szCs w:val="24"/>
      <w:lang w:eastAsia="zh-CN"/>
    </w:rPr>
  </w:style>
  <w:style w:type="paragraph" w:styleId="Sansinterligne">
    <w:name w:val="No Spacing"/>
    <w:uiPriority w:val="1"/>
    <w:qFormat/>
    <w:rsid w:val="00DB4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ALLEMONIERE Marie</dc:creator>
  <cp:keywords/>
  <dc:description/>
  <cp:lastModifiedBy>ALLEMONIERE Marie</cp:lastModifiedBy>
  <cp:revision>2</cp:revision>
  <dcterms:created xsi:type="dcterms:W3CDTF">2020-07-17T13:33:00Z</dcterms:created>
  <dcterms:modified xsi:type="dcterms:W3CDTF">2020-07-17T13:33:00Z</dcterms:modified>
</cp:coreProperties>
</file>