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2F" w:rsidRDefault="004B7D2F" w:rsidP="004B7D2F">
      <w:pPr>
        <w:spacing w:after="0" w:line="240" w:lineRule="auto"/>
        <w:jc w:val="center"/>
        <w:rPr>
          <w:rFonts w:ascii="Garamond" w:hAnsi="Garamond" w:cs="Times New Roman"/>
          <w:b/>
          <w:color w:val="FF0000"/>
          <w:sz w:val="32"/>
          <w:szCs w:val="32"/>
        </w:rPr>
      </w:pPr>
      <w:bookmarkStart w:id="0" w:name="_GoBack"/>
      <w:r>
        <w:rPr>
          <w:rFonts w:ascii="Garamond" w:hAnsi="Garamond" w:cs="Times New Roman"/>
          <w:b/>
          <w:color w:val="FF0000"/>
          <w:sz w:val="32"/>
          <w:szCs w:val="32"/>
        </w:rPr>
        <w:t xml:space="preserve">PLAN DU COURS « PRINCIPES DU DROIT PUBLIC » </w:t>
      </w:r>
      <w:bookmarkEnd w:id="0"/>
      <w:r>
        <w:rPr>
          <w:rFonts w:ascii="Garamond" w:hAnsi="Garamond" w:cs="Times New Roman"/>
          <w:b/>
          <w:color w:val="FF0000"/>
          <w:sz w:val="32"/>
          <w:szCs w:val="32"/>
        </w:rPr>
        <w:t>(B. LE BAUT-FERRARESE)</w:t>
      </w:r>
    </w:p>
    <w:p w:rsidR="004B7D2F" w:rsidRDefault="004B7D2F" w:rsidP="004B7D2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B7D2F" w:rsidRDefault="004B7D2F" w:rsidP="004B7D2F">
      <w:p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Introduction - Notion de principe </w:t>
      </w:r>
    </w:p>
    <w:p w:rsidR="004B7D2F" w:rsidRDefault="004B7D2F" w:rsidP="004B7D2F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Notion de principe en général</w:t>
      </w:r>
    </w:p>
    <w:p w:rsidR="004B7D2F" w:rsidRDefault="004B7D2F" w:rsidP="004B7D2F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Notion de principe </w:t>
      </w:r>
      <w:r>
        <w:rPr>
          <w:rFonts w:ascii="Garamond" w:hAnsi="Garamond"/>
          <w:i/>
        </w:rPr>
        <w:t>en/de/du</w:t>
      </w:r>
      <w:r>
        <w:rPr>
          <w:rFonts w:ascii="Garamond" w:hAnsi="Garamond"/>
        </w:rPr>
        <w:t xml:space="preserve"> droit </w:t>
      </w:r>
    </w:p>
    <w:p w:rsidR="004B7D2F" w:rsidRDefault="004B7D2F" w:rsidP="004B7D2F">
      <w:pPr>
        <w:pStyle w:val="Paragraphedeliste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Principes en droit</w:t>
      </w:r>
    </w:p>
    <w:p w:rsidR="004B7D2F" w:rsidRDefault="004B7D2F" w:rsidP="004B7D2F">
      <w:pPr>
        <w:pStyle w:val="Paragraphedeliste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Principes de droit  </w:t>
      </w:r>
    </w:p>
    <w:p w:rsidR="004B7D2F" w:rsidRDefault="004B7D2F" w:rsidP="004B7D2F">
      <w:pPr>
        <w:pStyle w:val="Paragraphedeliste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Principes du droit</w:t>
      </w:r>
    </w:p>
    <w:p w:rsidR="004B7D2F" w:rsidRDefault="004B7D2F" w:rsidP="004B7D2F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Notion de « principe du droit public » </w:t>
      </w:r>
    </w:p>
    <w:p w:rsidR="004B7D2F" w:rsidRDefault="004B7D2F" w:rsidP="004B7D2F">
      <w:pPr>
        <w:pStyle w:val="Paragraphedeliste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Portée matérielle </w:t>
      </w:r>
    </w:p>
    <w:p w:rsidR="004B7D2F" w:rsidRDefault="004B7D2F" w:rsidP="004B7D2F">
      <w:pPr>
        <w:pStyle w:val="Paragraphedeliste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Portée juridique </w:t>
      </w:r>
    </w:p>
    <w:p w:rsidR="004B7D2F" w:rsidRDefault="004B7D2F" w:rsidP="004B7D2F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4B7D2F" w:rsidRDefault="004B7D2F" w:rsidP="004B7D2F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Chapitre 1. Théorie du « principe du droit public » </w:t>
      </w:r>
    </w:p>
    <w:p w:rsidR="004B7D2F" w:rsidRDefault="004B7D2F" w:rsidP="004B7D2F">
      <w:pPr>
        <w:pStyle w:val="western"/>
        <w:spacing w:before="0" w:before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Section 1. Diversité des principes</w:t>
      </w:r>
    </w:p>
    <w:p w:rsidR="004B7D2F" w:rsidRDefault="004B7D2F" w:rsidP="004B7D2F">
      <w:pPr>
        <w:pStyle w:val="western"/>
        <w:numPr>
          <w:ilvl w:val="3"/>
          <w:numId w:val="6"/>
        </w:numPr>
        <w:spacing w:before="0" w:before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Les principes généraux du droit</w:t>
      </w:r>
    </w:p>
    <w:p w:rsidR="004B7D2F" w:rsidRDefault="004B7D2F" w:rsidP="004B7D2F">
      <w:pPr>
        <w:pStyle w:val="western"/>
        <w:numPr>
          <w:ilvl w:val="3"/>
          <w:numId w:val="6"/>
        </w:numPr>
        <w:spacing w:before="0" w:before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Les principes constitutionnels</w:t>
      </w:r>
    </w:p>
    <w:p w:rsidR="004B7D2F" w:rsidRDefault="004B7D2F" w:rsidP="004B7D2F">
      <w:pPr>
        <w:pStyle w:val="western"/>
        <w:numPr>
          <w:ilvl w:val="3"/>
          <w:numId w:val="6"/>
        </w:numPr>
        <w:spacing w:before="0" w:before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Les principes du droit UE</w:t>
      </w:r>
    </w:p>
    <w:p w:rsidR="004B7D2F" w:rsidRDefault="004B7D2F" w:rsidP="004B7D2F">
      <w:pPr>
        <w:pStyle w:val="western"/>
        <w:numPr>
          <w:ilvl w:val="3"/>
          <w:numId w:val="6"/>
        </w:numPr>
        <w:spacing w:before="0" w:before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Les principes du droit de la CEDH</w:t>
      </w:r>
    </w:p>
    <w:p w:rsidR="004B7D2F" w:rsidRDefault="004B7D2F" w:rsidP="004B7D2F">
      <w:pPr>
        <w:pStyle w:val="western"/>
        <w:spacing w:before="0" w:beforeAutospacing="0"/>
        <w:rPr>
          <w:rFonts w:ascii="Garamond" w:hAnsi="Garamond"/>
          <w:sz w:val="22"/>
          <w:szCs w:val="22"/>
        </w:rPr>
      </w:pPr>
    </w:p>
    <w:p w:rsidR="004B7D2F" w:rsidRDefault="004B7D2F" w:rsidP="004B7D2F">
      <w:pPr>
        <w:pStyle w:val="western"/>
        <w:spacing w:before="0" w:before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Section 2. Du rôle du juge dans la mise à jour des « principes du droit public »</w:t>
      </w:r>
    </w:p>
    <w:p w:rsidR="004B7D2F" w:rsidRDefault="004B7D2F" w:rsidP="004B7D2F">
      <w:pPr>
        <w:pStyle w:val="western"/>
        <w:numPr>
          <w:ilvl w:val="0"/>
          <w:numId w:val="9"/>
        </w:numPr>
        <w:spacing w:before="0" w:before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 degré d’implication variable</w:t>
      </w:r>
    </w:p>
    <w:p w:rsidR="004B7D2F" w:rsidRDefault="004B7D2F" w:rsidP="004B7D2F">
      <w:pPr>
        <w:pStyle w:val="western"/>
        <w:numPr>
          <w:ilvl w:val="0"/>
          <w:numId w:val="9"/>
        </w:numPr>
        <w:spacing w:before="0" w:beforeAutospacing="0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La distinction principes explicites/implicites</w:t>
      </w:r>
    </w:p>
    <w:p w:rsidR="004B7D2F" w:rsidRDefault="004B7D2F" w:rsidP="004B7D2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B7D2F" w:rsidRDefault="004B7D2F" w:rsidP="004B7D2F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Section 3. Les « principes du droit public » sources du droit </w:t>
      </w:r>
    </w:p>
    <w:p w:rsidR="004B7D2F" w:rsidRDefault="004B7D2F" w:rsidP="004B7D2F">
      <w:pPr>
        <w:pStyle w:val="Paragraphedeliste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 sources du droit interne </w:t>
      </w:r>
    </w:p>
    <w:p w:rsidR="004B7D2F" w:rsidRDefault="004B7D2F" w:rsidP="004B7D2F">
      <w:pPr>
        <w:pStyle w:val="Paragraphedeliste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 sources externes du droit </w:t>
      </w:r>
    </w:p>
    <w:p w:rsidR="004B7D2F" w:rsidRDefault="004B7D2F" w:rsidP="004B7D2F">
      <w:pPr>
        <w:spacing w:after="0" w:line="240" w:lineRule="auto"/>
        <w:rPr>
          <w:rFonts w:ascii="Garamond" w:hAnsi="Garamond" w:cs="Times New Roman"/>
          <w:b/>
          <w:sz w:val="32"/>
          <w:szCs w:val="32"/>
        </w:rPr>
      </w:pPr>
    </w:p>
    <w:p w:rsidR="004B7D2F" w:rsidRDefault="004B7D2F" w:rsidP="004B7D2F">
      <w:pPr>
        <w:spacing w:after="0"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Chapitre 2. Sélection de « principes du droit public » </w:t>
      </w:r>
    </w:p>
    <w:p w:rsidR="004B7D2F" w:rsidRDefault="004B7D2F" w:rsidP="004B7D2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Section 1. Les principes applicables au contenu de l’action administrative</w:t>
      </w:r>
    </w:p>
    <w:p w:rsidR="004B7D2F" w:rsidRDefault="004B7D2F" w:rsidP="004B7D2F">
      <w:pPr>
        <w:pStyle w:val="Paragraphedeliste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Le principe de la liberté d’entreprendre</w:t>
      </w:r>
    </w:p>
    <w:p w:rsidR="004B7D2F" w:rsidRDefault="004B7D2F" w:rsidP="004B7D2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 principe d’égalité de traitement</w:t>
      </w:r>
    </w:p>
    <w:p w:rsidR="004B7D2F" w:rsidRDefault="004B7D2F" w:rsidP="004B7D2F">
      <w:pPr>
        <w:spacing w:after="0" w:line="240" w:lineRule="auto"/>
        <w:jc w:val="both"/>
        <w:rPr>
          <w:rFonts w:ascii="Garamond" w:hAnsi="Garamond" w:cs="Times New Roman"/>
        </w:rPr>
      </w:pPr>
    </w:p>
    <w:p w:rsidR="004B7D2F" w:rsidRDefault="004B7D2F" w:rsidP="004B7D2F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Section 2. Les principes applicables aux modalités de l’action administrative </w:t>
      </w:r>
    </w:p>
    <w:p w:rsidR="004B7D2F" w:rsidRDefault="004B7D2F" w:rsidP="004B7D2F">
      <w:pPr>
        <w:pStyle w:val="Paragraphedeliste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Le principe de sécurité juridique</w:t>
      </w:r>
    </w:p>
    <w:p w:rsidR="004B7D2F" w:rsidRDefault="004B7D2F" w:rsidP="004B7D2F">
      <w:pPr>
        <w:pStyle w:val="Paragraphedeliste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Le principe de non-rétroactivité des actes administratifs</w:t>
      </w:r>
    </w:p>
    <w:p w:rsidR="004B7D2F" w:rsidRDefault="004B7D2F" w:rsidP="004B7D2F">
      <w:pPr>
        <w:pStyle w:val="Paragraphedeliste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Le principe de l’intangibilité des actes administratifs créateurs de droit</w:t>
      </w:r>
    </w:p>
    <w:p w:rsidR="004B7D2F" w:rsidRDefault="004B7D2F" w:rsidP="004B7D2F">
      <w:pPr>
        <w:pStyle w:val="Paragraphedeliste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La protection de la confiance légitime</w:t>
      </w:r>
    </w:p>
    <w:p w:rsidR="004702D5" w:rsidRPr="004B7D2F" w:rsidRDefault="004702D5" w:rsidP="004B7D2F"/>
    <w:sectPr w:rsidR="004702D5" w:rsidRPr="004B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1C6"/>
    <w:multiLevelType w:val="hybridMultilevel"/>
    <w:tmpl w:val="D184608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860"/>
    <w:multiLevelType w:val="multilevel"/>
    <w:tmpl w:val="0E366B68"/>
    <w:lvl w:ilvl="0">
      <w:start w:val="1"/>
      <w:numFmt w:val="upperRoman"/>
      <w:lvlText w:val="%1-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D8D0BE9"/>
    <w:multiLevelType w:val="multilevel"/>
    <w:tmpl w:val="98A8F2FE"/>
    <w:lvl w:ilvl="0">
      <w:start w:val="1"/>
      <w:numFmt w:val="upperRoman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D62D94"/>
    <w:multiLevelType w:val="hybridMultilevel"/>
    <w:tmpl w:val="AE96441E"/>
    <w:lvl w:ilvl="0" w:tplc="64D0E21C">
      <w:start w:val="1"/>
      <w:numFmt w:val="upperRoman"/>
      <w:lvlText w:val="%1-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8DD22C04">
      <w:start w:val="1"/>
      <w:numFmt w:val="upperLetter"/>
      <w:lvlText w:val="%4."/>
      <w:lvlJc w:val="left"/>
      <w:pPr>
        <w:ind w:left="786" w:hanging="360"/>
      </w:pPr>
      <w:rPr>
        <w:rFonts w:ascii="Garamond" w:eastAsiaTheme="minorHAnsi" w:hAnsi="Garamond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663E"/>
    <w:multiLevelType w:val="hybridMultilevel"/>
    <w:tmpl w:val="58D8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3B05"/>
    <w:multiLevelType w:val="hybridMultilevel"/>
    <w:tmpl w:val="AB08C58E"/>
    <w:lvl w:ilvl="0" w:tplc="91448982">
      <w:start w:val="1"/>
      <w:numFmt w:val="upperRoman"/>
      <w:lvlText w:val="%1-"/>
      <w:lvlJc w:val="left"/>
      <w:pPr>
        <w:ind w:left="1080" w:hanging="72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BFCEDACE">
      <w:start w:val="1"/>
      <w:numFmt w:val="upperRoman"/>
      <w:lvlText w:val="%4-"/>
      <w:lvlJc w:val="left"/>
      <w:pPr>
        <w:ind w:left="785" w:hanging="360"/>
      </w:pPr>
      <w:rPr>
        <w:rFonts w:ascii="Garamond" w:eastAsiaTheme="minorHAnsi" w:hAnsi="Garamond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F3C"/>
    <w:multiLevelType w:val="hybridMultilevel"/>
    <w:tmpl w:val="07DCF524"/>
    <w:lvl w:ilvl="0" w:tplc="F842A0FA">
      <w:start w:val="1"/>
      <w:numFmt w:val="upperLetter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6A2667"/>
    <w:multiLevelType w:val="hybridMultilevel"/>
    <w:tmpl w:val="CB0075AE"/>
    <w:lvl w:ilvl="0" w:tplc="85D80D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6F0B"/>
    <w:multiLevelType w:val="hybridMultilevel"/>
    <w:tmpl w:val="3C46BDD0"/>
    <w:lvl w:ilvl="0" w:tplc="A4E6B570">
      <w:start w:val="5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012E3"/>
    <w:multiLevelType w:val="hybridMultilevel"/>
    <w:tmpl w:val="92600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10C01"/>
    <w:multiLevelType w:val="hybridMultilevel"/>
    <w:tmpl w:val="D302A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6D6F"/>
    <w:multiLevelType w:val="multilevel"/>
    <w:tmpl w:val="A0DA3F7E"/>
    <w:lvl w:ilvl="0">
      <w:start w:val="1"/>
      <w:numFmt w:val="upperRoman"/>
      <w:lvlText w:val="%1-"/>
      <w:lvlJc w:val="left"/>
      <w:pPr>
        <w:ind w:left="720" w:hanging="360"/>
      </w:pPr>
      <w:rPr>
        <w:rFonts w:ascii="Garamond" w:eastAsiaTheme="minorHAnsi" w:hAnsi="Garamond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BC"/>
    <w:rsid w:val="00103689"/>
    <w:rsid w:val="00192AEA"/>
    <w:rsid w:val="002513DA"/>
    <w:rsid w:val="004702D5"/>
    <w:rsid w:val="004B7D2F"/>
    <w:rsid w:val="006B18F0"/>
    <w:rsid w:val="00A710BC"/>
    <w:rsid w:val="00D549CC"/>
    <w:rsid w:val="00DB4BB9"/>
    <w:rsid w:val="00F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4F33"/>
  <w15:chartTrackingRefBased/>
  <w15:docId w15:val="{9043F037-1C7B-4BB7-9FE7-C8A815DD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2F"/>
  </w:style>
  <w:style w:type="paragraph" w:styleId="Titre1">
    <w:name w:val="heading 1"/>
    <w:basedOn w:val="Normal"/>
    <w:next w:val="Normal"/>
    <w:link w:val="Titre1Car"/>
    <w:uiPriority w:val="9"/>
    <w:qFormat/>
    <w:rsid w:val="00192AE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710BC"/>
    <w:pPr>
      <w:spacing w:after="0" w:line="240" w:lineRule="auto"/>
      <w:ind w:left="720"/>
      <w:contextualSpacing/>
    </w:pPr>
    <w:rPr>
      <w:rFonts w:ascii="(Utiliser une police de caractè" w:eastAsia="SimSun" w:hAnsi="(Utiliser une police de caractè" w:cs="Times New Roman"/>
      <w:iCs/>
      <w:sz w:val="24"/>
      <w:szCs w:val="24"/>
      <w:lang w:eastAsia="zh-CN"/>
    </w:rPr>
  </w:style>
  <w:style w:type="character" w:customStyle="1" w:styleId="ParagraphedelisteCar">
    <w:name w:val="Paragraphe de liste Car"/>
    <w:link w:val="Paragraphedeliste"/>
    <w:uiPriority w:val="34"/>
    <w:rsid w:val="00A710BC"/>
    <w:rPr>
      <w:rFonts w:ascii="(Utiliser une police de caractè" w:eastAsia="SimSun" w:hAnsi="(Utiliser une police de caractè" w:cs="Times New Roman"/>
      <w:iCs/>
      <w:sz w:val="24"/>
      <w:szCs w:val="24"/>
      <w:lang w:eastAsia="zh-CN"/>
    </w:rPr>
  </w:style>
  <w:style w:type="paragraph" w:styleId="Sansinterligne">
    <w:name w:val="No Spacing"/>
    <w:uiPriority w:val="1"/>
    <w:qFormat/>
    <w:rsid w:val="00DB4BB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92AE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19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4B7D2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ALLEMONIERE Marie</dc:creator>
  <cp:keywords/>
  <dc:description/>
  <cp:lastModifiedBy>ALLEMONIERE Marie</cp:lastModifiedBy>
  <cp:revision>2</cp:revision>
  <dcterms:created xsi:type="dcterms:W3CDTF">2020-07-17T13:48:00Z</dcterms:created>
  <dcterms:modified xsi:type="dcterms:W3CDTF">2020-07-17T13:48:00Z</dcterms:modified>
</cp:coreProperties>
</file>