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FCB" w:rsidRPr="00156547" w:rsidRDefault="002B438A">
      <w:pPr>
        <w:rPr>
          <w:rFonts w:ascii="Times New Roman" w:hAnsi="Times New Roman" w:cs="Times New Roman"/>
        </w:rPr>
      </w:pPr>
      <w:bookmarkStart w:id="0" w:name="_GoBack"/>
      <w:bookmarkEnd w:id="0"/>
      <w:r w:rsidRPr="00156547">
        <w:rPr>
          <w:rFonts w:ascii="Times New Roman" w:hAnsi="Times New Roman" w:cs="Times New Roman"/>
        </w:rPr>
        <w:t>Cours de droit de l’environnement,</w:t>
      </w:r>
    </w:p>
    <w:p w:rsidR="002B438A" w:rsidRPr="00156547" w:rsidRDefault="002B438A">
      <w:pPr>
        <w:rPr>
          <w:rFonts w:ascii="Times New Roman" w:hAnsi="Times New Roman" w:cs="Times New Roman"/>
        </w:rPr>
      </w:pPr>
      <w:r w:rsidRPr="00156547">
        <w:rPr>
          <w:rFonts w:ascii="Times New Roman" w:hAnsi="Times New Roman" w:cs="Times New Roman"/>
        </w:rPr>
        <w:t>Année 2017-2018</w:t>
      </w:r>
    </w:p>
    <w:p w:rsidR="002B438A" w:rsidRPr="00156547" w:rsidRDefault="002B438A">
      <w:pPr>
        <w:rPr>
          <w:rFonts w:ascii="Times New Roman" w:hAnsi="Times New Roman" w:cs="Times New Roman"/>
        </w:rPr>
      </w:pPr>
      <w:r w:rsidRPr="00156547">
        <w:rPr>
          <w:rFonts w:ascii="Times New Roman" w:hAnsi="Times New Roman" w:cs="Times New Roman"/>
        </w:rPr>
        <w:t xml:space="preserve">Mathilde </w:t>
      </w:r>
      <w:proofErr w:type="spellStart"/>
      <w:r w:rsidRPr="00156547">
        <w:rPr>
          <w:rFonts w:ascii="Times New Roman" w:hAnsi="Times New Roman" w:cs="Times New Roman"/>
        </w:rPr>
        <w:t>Hautereau-Boutonnet</w:t>
      </w:r>
      <w:proofErr w:type="spellEnd"/>
    </w:p>
    <w:p w:rsidR="002B438A" w:rsidRPr="00156547" w:rsidRDefault="002B438A">
      <w:pPr>
        <w:rPr>
          <w:rFonts w:ascii="Times New Roman" w:hAnsi="Times New Roman" w:cs="Times New Roman"/>
        </w:rPr>
      </w:pPr>
    </w:p>
    <w:p w:rsidR="002B438A" w:rsidRPr="00156547" w:rsidRDefault="002B438A" w:rsidP="002B438A">
      <w:pPr>
        <w:jc w:val="both"/>
        <w:rPr>
          <w:rFonts w:ascii="Times New Roman" w:hAnsi="Times New Roman" w:cs="Times New Roman"/>
        </w:rPr>
      </w:pPr>
      <w:r w:rsidRPr="00156547">
        <w:rPr>
          <w:rFonts w:ascii="Times New Roman" w:hAnsi="Times New Roman" w:cs="Times New Roman"/>
        </w:rPr>
        <w:t>Ce cours consiste à mettre en lumière les principaux modes de régulation existant en droit interne de l’environnement tout en les resituant dans une perspective globale (droit de l’Union européenne, droit international et droit européen) et comparatiste (droits étrangers). Le droit de l’environnement connaît d’im</w:t>
      </w:r>
      <w:r w:rsidR="000332CD" w:rsidRPr="00156547">
        <w:rPr>
          <w:rFonts w:ascii="Times New Roman" w:hAnsi="Times New Roman" w:cs="Times New Roman"/>
        </w:rPr>
        <w:t>portantes évolutions normatives</w:t>
      </w:r>
      <w:r w:rsidRPr="00156547">
        <w:rPr>
          <w:rFonts w:ascii="Times New Roman" w:hAnsi="Times New Roman" w:cs="Times New Roman"/>
        </w:rPr>
        <w:t xml:space="preserve"> parce que l’on assiste</w:t>
      </w:r>
      <w:r w:rsidR="000332CD" w:rsidRPr="00156547">
        <w:rPr>
          <w:rFonts w:ascii="Times New Roman" w:hAnsi="Times New Roman" w:cs="Times New Roman"/>
        </w:rPr>
        <w:t>, non seulement</w:t>
      </w:r>
      <w:r w:rsidRPr="00156547">
        <w:rPr>
          <w:rFonts w:ascii="Times New Roman" w:hAnsi="Times New Roman" w:cs="Times New Roman"/>
        </w:rPr>
        <w:t xml:space="preserve"> à une complexification des sources formelles de la matière (multiplicité des acteurs normatifs, diversité des types de normes, concernant </w:t>
      </w:r>
      <w:r w:rsidR="000332CD" w:rsidRPr="00156547">
        <w:rPr>
          <w:rFonts w:ascii="Times New Roman" w:hAnsi="Times New Roman" w:cs="Times New Roman"/>
        </w:rPr>
        <w:t>leur origine et force), mais aussi à un affinement de ses finalités sur le plan substantiel (ordre public tourné vers les intérêts privés et non plus uniquement général, normes relevant des finalités du droit public autant que du droit privé). En ce sens, après avoir mis en évidence les transformations formelles du droit interne de l’environnement, nous observerons ses transformations substantielles.</w:t>
      </w:r>
    </w:p>
    <w:p w:rsidR="000332CD" w:rsidRPr="00156547" w:rsidRDefault="000332CD" w:rsidP="002B438A">
      <w:pPr>
        <w:jc w:val="both"/>
        <w:rPr>
          <w:rFonts w:ascii="Times New Roman" w:hAnsi="Times New Roman" w:cs="Times New Roman"/>
        </w:rPr>
      </w:pPr>
    </w:p>
    <w:p w:rsidR="000332CD" w:rsidRPr="00156547" w:rsidRDefault="000332CD" w:rsidP="002B438A">
      <w:pPr>
        <w:jc w:val="both"/>
        <w:rPr>
          <w:rFonts w:ascii="Times New Roman" w:hAnsi="Times New Roman" w:cs="Times New Roman"/>
          <w:b/>
        </w:rPr>
      </w:pPr>
      <w:r w:rsidRPr="00156547">
        <w:rPr>
          <w:rFonts w:ascii="Times New Roman" w:hAnsi="Times New Roman" w:cs="Times New Roman"/>
          <w:b/>
        </w:rPr>
        <w:t>Chapitre 1 – Les transformations formelles du droit de l’environnement</w:t>
      </w:r>
    </w:p>
    <w:p w:rsidR="000332CD" w:rsidRPr="00156547" w:rsidRDefault="000332CD" w:rsidP="002B438A">
      <w:pPr>
        <w:jc w:val="both"/>
        <w:rPr>
          <w:rFonts w:ascii="Times New Roman" w:hAnsi="Times New Roman" w:cs="Times New Roman"/>
        </w:rPr>
      </w:pPr>
    </w:p>
    <w:p w:rsidR="000332CD" w:rsidRPr="00156547" w:rsidRDefault="000332CD" w:rsidP="002B438A">
      <w:pPr>
        <w:jc w:val="both"/>
        <w:rPr>
          <w:rFonts w:ascii="Times New Roman" w:hAnsi="Times New Roman" w:cs="Times New Roman"/>
          <w:b/>
        </w:rPr>
      </w:pPr>
      <w:r w:rsidRPr="00156547">
        <w:rPr>
          <w:rFonts w:ascii="Times New Roman" w:hAnsi="Times New Roman" w:cs="Times New Roman"/>
          <w:b/>
        </w:rPr>
        <w:t>Section 1 – La densification normative des ordres juridiques</w:t>
      </w:r>
    </w:p>
    <w:p w:rsidR="00DE295D" w:rsidRPr="00156547" w:rsidRDefault="00DE295D" w:rsidP="002B438A">
      <w:pPr>
        <w:jc w:val="both"/>
        <w:rPr>
          <w:rFonts w:ascii="Times New Roman" w:hAnsi="Times New Roman" w:cs="Times New Roman"/>
        </w:rPr>
      </w:pPr>
    </w:p>
    <w:p w:rsidR="000332CD" w:rsidRDefault="009129A5" w:rsidP="002B438A">
      <w:pPr>
        <w:jc w:val="both"/>
        <w:rPr>
          <w:rFonts w:ascii="Times New Roman" w:hAnsi="Times New Roman" w:cs="Times New Roman"/>
          <w:b/>
        </w:rPr>
      </w:pPr>
      <w:r>
        <w:rPr>
          <w:rFonts w:ascii="Times New Roman" w:hAnsi="Times New Roman" w:cs="Times New Roman"/>
          <w:b/>
        </w:rPr>
        <w:t>I</w:t>
      </w:r>
      <w:r w:rsidR="000332CD" w:rsidRPr="00156547">
        <w:rPr>
          <w:rFonts w:ascii="Times New Roman" w:hAnsi="Times New Roman" w:cs="Times New Roman"/>
          <w:b/>
        </w:rPr>
        <w:t>–</w:t>
      </w:r>
      <w:r w:rsidR="000B1577" w:rsidRPr="00156547">
        <w:rPr>
          <w:rFonts w:ascii="Times New Roman" w:hAnsi="Times New Roman" w:cs="Times New Roman"/>
          <w:b/>
        </w:rPr>
        <w:t xml:space="preserve"> </w:t>
      </w:r>
      <w:r w:rsidR="000332CD" w:rsidRPr="00156547">
        <w:rPr>
          <w:rFonts w:ascii="Times New Roman" w:hAnsi="Times New Roman" w:cs="Times New Roman"/>
          <w:b/>
        </w:rPr>
        <w:t>Les normes traditionnelles</w:t>
      </w:r>
    </w:p>
    <w:p w:rsidR="009129A5" w:rsidRDefault="009129A5" w:rsidP="002B438A">
      <w:pPr>
        <w:jc w:val="both"/>
        <w:rPr>
          <w:rFonts w:ascii="Times New Roman" w:hAnsi="Times New Roman" w:cs="Times New Roman"/>
          <w:b/>
        </w:rPr>
      </w:pPr>
    </w:p>
    <w:p w:rsidR="000332CD" w:rsidRDefault="000332CD" w:rsidP="000332CD">
      <w:pPr>
        <w:pStyle w:val="Paragraphedeliste"/>
        <w:numPr>
          <w:ilvl w:val="0"/>
          <w:numId w:val="1"/>
        </w:numPr>
        <w:jc w:val="both"/>
        <w:rPr>
          <w:rFonts w:ascii="Times New Roman" w:hAnsi="Times New Roman" w:cs="Times New Roman"/>
        </w:rPr>
      </w:pPr>
      <w:r w:rsidRPr="00156547">
        <w:rPr>
          <w:rFonts w:ascii="Times New Roman" w:hAnsi="Times New Roman" w:cs="Times New Roman"/>
        </w:rPr>
        <w:t xml:space="preserve">Les </w:t>
      </w:r>
      <w:r w:rsidR="005F74AB">
        <w:rPr>
          <w:rFonts w:ascii="Times New Roman" w:hAnsi="Times New Roman" w:cs="Times New Roman"/>
        </w:rPr>
        <w:t>généralités</w:t>
      </w:r>
    </w:p>
    <w:p w:rsidR="005F74AB" w:rsidRDefault="005F74AB" w:rsidP="005F74AB">
      <w:pPr>
        <w:pStyle w:val="Paragraphedeliste"/>
        <w:numPr>
          <w:ilvl w:val="0"/>
          <w:numId w:val="10"/>
        </w:numPr>
        <w:jc w:val="both"/>
        <w:rPr>
          <w:rFonts w:ascii="Times New Roman" w:hAnsi="Times New Roman" w:cs="Times New Roman"/>
        </w:rPr>
      </w:pPr>
      <w:r>
        <w:rPr>
          <w:rFonts w:ascii="Times New Roman" w:hAnsi="Times New Roman" w:cs="Times New Roman"/>
        </w:rPr>
        <w:t>Sources infra-constitutionnelles (Loi, originalité de l’élaboration</w:t>
      </w:r>
      <w:r w:rsidR="009869CE">
        <w:rPr>
          <w:rFonts w:ascii="Times New Roman" w:hAnsi="Times New Roman" w:cs="Times New Roman"/>
        </w:rPr>
        <w:t>-démocratie environnementale</w:t>
      </w:r>
      <w:r>
        <w:rPr>
          <w:rFonts w:ascii="Times New Roman" w:hAnsi="Times New Roman" w:cs="Times New Roman"/>
        </w:rPr>
        <w:t>, densification des princip</w:t>
      </w:r>
      <w:r w:rsidR="009157D7">
        <w:rPr>
          <w:rFonts w:ascii="Times New Roman" w:hAnsi="Times New Roman" w:cs="Times New Roman"/>
        </w:rPr>
        <w:t>es, zoom sur le principe de non-régression</w:t>
      </w:r>
      <w:r>
        <w:rPr>
          <w:rFonts w:ascii="Times New Roman" w:hAnsi="Times New Roman" w:cs="Times New Roman"/>
        </w:rPr>
        <w:t>)</w:t>
      </w:r>
    </w:p>
    <w:p w:rsidR="005F74AB" w:rsidRDefault="009157D7" w:rsidP="005F74AB">
      <w:pPr>
        <w:pStyle w:val="Paragraphedeliste"/>
        <w:numPr>
          <w:ilvl w:val="0"/>
          <w:numId w:val="10"/>
        </w:numPr>
        <w:jc w:val="both"/>
        <w:rPr>
          <w:rFonts w:ascii="Times New Roman" w:hAnsi="Times New Roman" w:cs="Times New Roman"/>
        </w:rPr>
      </w:pPr>
      <w:r>
        <w:rPr>
          <w:rFonts w:ascii="Times New Roman" w:hAnsi="Times New Roman" w:cs="Times New Roman"/>
        </w:rPr>
        <w:t>Source</w:t>
      </w:r>
      <w:r w:rsidR="005F74AB">
        <w:rPr>
          <w:rFonts w:ascii="Times New Roman" w:hAnsi="Times New Roman" w:cs="Times New Roman"/>
        </w:rPr>
        <w:t xml:space="preserve"> constitutionnelle</w:t>
      </w:r>
      <w:r>
        <w:rPr>
          <w:rFonts w:ascii="Times New Roman" w:hAnsi="Times New Roman" w:cs="Times New Roman"/>
        </w:rPr>
        <w:t> : étude de la Charte de l’environnement (articles, nature, portée, étude de l’arrêt</w:t>
      </w:r>
      <w:r w:rsidR="00B930C4">
        <w:rPr>
          <w:rFonts w:ascii="Times New Roman" w:hAnsi="Times New Roman" w:cs="Times New Roman"/>
        </w:rPr>
        <w:t xml:space="preserve"> du 8 avril 2011)</w:t>
      </w:r>
    </w:p>
    <w:p w:rsidR="005F74AB" w:rsidRPr="00156547" w:rsidRDefault="005F74AB" w:rsidP="005F74AB">
      <w:pPr>
        <w:pStyle w:val="Paragraphedeliste"/>
        <w:ind w:left="1080"/>
        <w:jc w:val="both"/>
        <w:rPr>
          <w:rFonts w:ascii="Times New Roman" w:hAnsi="Times New Roman" w:cs="Times New Roman"/>
        </w:rPr>
      </w:pPr>
    </w:p>
    <w:p w:rsidR="009869CE" w:rsidRDefault="000332CD" w:rsidP="000332CD">
      <w:pPr>
        <w:pStyle w:val="Paragraphedeliste"/>
        <w:numPr>
          <w:ilvl w:val="0"/>
          <w:numId w:val="1"/>
        </w:numPr>
        <w:jc w:val="both"/>
        <w:rPr>
          <w:rFonts w:ascii="Times New Roman" w:hAnsi="Times New Roman" w:cs="Times New Roman"/>
        </w:rPr>
      </w:pPr>
      <w:r w:rsidRPr="00156547">
        <w:rPr>
          <w:rFonts w:ascii="Times New Roman" w:hAnsi="Times New Roman" w:cs="Times New Roman"/>
        </w:rPr>
        <w:t xml:space="preserve">Les </w:t>
      </w:r>
      <w:r w:rsidR="00B930C4">
        <w:rPr>
          <w:rFonts w:ascii="Times New Roman" w:hAnsi="Times New Roman" w:cs="Times New Roman"/>
        </w:rPr>
        <w:t xml:space="preserve">principes, </w:t>
      </w:r>
      <w:r w:rsidRPr="00156547">
        <w:rPr>
          <w:rFonts w:ascii="Times New Roman" w:hAnsi="Times New Roman" w:cs="Times New Roman"/>
        </w:rPr>
        <w:t>devoirs et droits fondamentaux</w:t>
      </w:r>
      <w:r w:rsidR="009869CE">
        <w:rPr>
          <w:rFonts w:ascii="Times New Roman" w:hAnsi="Times New Roman" w:cs="Times New Roman"/>
        </w:rPr>
        <w:t xml:space="preserve"> </w:t>
      </w:r>
    </w:p>
    <w:p w:rsidR="009869CE" w:rsidRDefault="00B930C4" w:rsidP="009869CE">
      <w:pPr>
        <w:pStyle w:val="Paragraphedeliste"/>
        <w:numPr>
          <w:ilvl w:val="0"/>
          <w:numId w:val="10"/>
        </w:numPr>
        <w:jc w:val="both"/>
        <w:rPr>
          <w:rFonts w:ascii="Times New Roman" w:hAnsi="Times New Roman" w:cs="Times New Roman"/>
        </w:rPr>
      </w:pPr>
      <w:r>
        <w:rPr>
          <w:rFonts w:ascii="Times New Roman" w:hAnsi="Times New Roman" w:cs="Times New Roman"/>
        </w:rPr>
        <w:t>manifestations des normes, zoom sur</w:t>
      </w:r>
      <w:r w:rsidR="00160878">
        <w:rPr>
          <w:rFonts w:ascii="Times New Roman" w:hAnsi="Times New Roman" w:cs="Times New Roman"/>
        </w:rPr>
        <w:t xml:space="preserve"> le droit à l’environnement </w:t>
      </w:r>
      <w:r w:rsidR="009869CE">
        <w:rPr>
          <w:rFonts w:ascii="Times New Roman" w:hAnsi="Times New Roman" w:cs="Times New Roman"/>
        </w:rPr>
        <w:t>France et CEDH/ son affinement vers le climat/ Peut-on aller plus loin ? zoom sur les droits de la nature</w:t>
      </w:r>
    </w:p>
    <w:p w:rsidR="009869CE" w:rsidRDefault="00160878" w:rsidP="009869CE">
      <w:pPr>
        <w:pStyle w:val="Paragraphedeliste"/>
        <w:numPr>
          <w:ilvl w:val="0"/>
          <w:numId w:val="10"/>
        </w:numPr>
        <w:jc w:val="both"/>
        <w:rPr>
          <w:rFonts w:ascii="Times New Roman" w:hAnsi="Times New Roman" w:cs="Times New Roman"/>
        </w:rPr>
      </w:pPr>
      <w:r>
        <w:rPr>
          <w:rFonts w:ascii="Times New Roman" w:hAnsi="Times New Roman" w:cs="Times New Roman"/>
        </w:rPr>
        <w:t xml:space="preserve"> </w:t>
      </w:r>
      <w:proofErr w:type="gramStart"/>
      <w:r w:rsidR="009869CE">
        <w:rPr>
          <w:rFonts w:ascii="Times New Roman" w:hAnsi="Times New Roman" w:cs="Times New Roman"/>
        </w:rPr>
        <w:t>Les appuis procéduraux : droit</w:t>
      </w:r>
      <w:proofErr w:type="gramEnd"/>
      <w:r w:rsidR="009869CE">
        <w:rPr>
          <w:rFonts w:ascii="Times New Roman" w:hAnsi="Times New Roman" w:cs="Times New Roman"/>
        </w:rPr>
        <w:t xml:space="preserve"> à l’information et à la participation </w:t>
      </w:r>
    </w:p>
    <w:p w:rsidR="009869CE" w:rsidRDefault="009869CE" w:rsidP="009869CE">
      <w:pPr>
        <w:pStyle w:val="Paragraphedeliste"/>
        <w:numPr>
          <w:ilvl w:val="0"/>
          <w:numId w:val="10"/>
        </w:numPr>
        <w:jc w:val="both"/>
        <w:rPr>
          <w:rFonts w:ascii="Times New Roman" w:hAnsi="Times New Roman" w:cs="Times New Roman"/>
        </w:rPr>
      </w:pPr>
      <w:r>
        <w:rPr>
          <w:rFonts w:ascii="Times New Roman" w:hAnsi="Times New Roman" w:cs="Times New Roman"/>
        </w:rPr>
        <w:t>aspects décisionnels et juridictionnels du droit à la participation, actions banales et actions attitrées</w:t>
      </w:r>
      <w:r w:rsidR="00160878">
        <w:rPr>
          <w:rFonts w:ascii="Times New Roman" w:hAnsi="Times New Roman" w:cs="Times New Roman"/>
        </w:rPr>
        <w:t>,</w:t>
      </w:r>
      <w:r w:rsidR="00B930C4">
        <w:rPr>
          <w:rFonts w:ascii="Times New Roman" w:hAnsi="Times New Roman" w:cs="Times New Roman"/>
        </w:rPr>
        <w:t xml:space="preserve"> </w:t>
      </w:r>
      <w:r>
        <w:rPr>
          <w:rFonts w:ascii="Times New Roman" w:hAnsi="Times New Roman" w:cs="Times New Roman"/>
        </w:rPr>
        <w:t>peut-on aller plus loin ? Quid de l’</w:t>
      </w:r>
      <w:proofErr w:type="spellStart"/>
      <w:r>
        <w:rPr>
          <w:rFonts w:ascii="Times New Roman" w:hAnsi="Times New Roman" w:cs="Times New Roman"/>
        </w:rPr>
        <w:t>actio</w:t>
      </w:r>
      <w:proofErr w:type="spellEnd"/>
      <w:r>
        <w:rPr>
          <w:rFonts w:ascii="Times New Roman" w:hAnsi="Times New Roman" w:cs="Times New Roman"/>
        </w:rPr>
        <w:t xml:space="preserve"> </w:t>
      </w:r>
      <w:proofErr w:type="spellStart"/>
      <w:r>
        <w:rPr>
          <w:rFonts w:ascii="Times New Roman" w:hAnsi="Times New Roman" w:cs="Times New Roman"/>
        </w:rPr>
        <w:t>popularis</w:t>
      </w:r>
      <w:proofErr w:type="spellEnd"/>
      <w:r>
        <w:rPr>
          <w:rFonts w:ascii="Times New Roman" w:hAnsi="Times New Roman" w:cs="Times New Roman"/>
        </w:rPr>
        <w:t xml:space="preserve"> ? Originalité des actions françaises ? </w:t>
      </w:r>
      <w:proofErr w:type="gramStart"/>
      <w:r>
        <w:rPr>
          <w:rFonts w:ascii="Times New Roman" w:hAnsi="Times New Roman" w:cs="Times New Roman"/>
        </w:rPr>
        <w:t>Limites</w:t>
      </w:r>
      <w:proofErr w:type="gramEnd"/>
      <w:r>
        <w:rPr>
          <w:rFonts w:ascii="Times New Roman" w:hAnsi="Times New Roman" w:cs="Times New Roman"/>
        </w:rPr>
        <w:t xml:space="preserve"> du droit français ?</w:t>
      </w:r>
    </w:p>
    <w:p w:rsidR="009869CE" w:rsidRDefault="009869CE" w:rsidP="009869CE">
      <w:pPr>
        <w:pStyle w:val="Paragraphedeliste"/>
        <w:numPr>
          <w:ilvl w:val="0"/>
          <w:numId w:val="10"/>
        </w:numPr>
        <w:jc w:val="both"/>
        <w:rPr>
          <w:rFonts w:ascii="Times New Roman" w:hAnsi="Times New Roman" w:cs="Times New Roman"/>
        </w:rPr>
      </w:pPr>
      <w:r>
        <w:rPr>
          <w:rFonts w:ascii="Times New Roman" w:hAnsi="Times New Roman" w:cs="Times New Roman"/>
        </w:rPr>
        <w:t>Droit à l’information : de l’information verticale à l’information horizontale (ex du droit des sociétés et du droit de la vente et location)</w:t>
      </w:r>
    </w:p>
    <w:p w:rsidR="009869CE" w:rsidRDefault="009869CE" w:rsidP="009869CE">
      <w:pPr>
        <w:pStyle w:val="Paragraphedeliste"/>
        <w:numPr>
          <w:ilvl w:val="0"/>
          <w:numId w:val="10"/>
        </w:numPr>
        <w:jc w:val="both"/>
        <w:rPr>
          <w:rFonts w:ascii="Times New Roman" w:hAnsi="Times New Roman" w:cs="Times New Roman"/>
        </w:rPr>
      </w:pPr>
      <w:r>
        <w:rPr>
          <w:rFonts w:ascii="Times New Roman" w:hAnsi="Times New Roman" w:cs="Times New Roman"/>
        </w:rPr>
        <w:t xml:space="preserve">Le devoir de prévention et de réparation : zoom sur les actions en référé, la théorie du trouble anormal de voisinage, la responsabilité civile environnementale </w:t>
      </w:r>
    </w:p>
    <w:p w:rsidR="000332CD" w:rsidRDefault="009869CE" w:rsidP="009869CE">
      <w:pPr>
        <w:pStyle w:val="Paragraphedeliste"/>
        <w:numPr>
          <w:ilvl w:val="0"/>
          <w:numId w:val="10"/>
        </w:numPr>
        <w:jc w:val="both"/>
        <w:rPr>
          <w:rFonts w:ascii="Times New Roman" w:hAnsi="Times New Roman" w:cs="Times New Roman"/>
        </w:rPr>
      </w:pPr>
      <w:r>
        <w:rPr>
          <w:rFonts w:ascii="Times New Roman" w:hAnsi="Times New Roman" w:cs="Times New Roman"/>
        </w:rPr>
        <w:t xml:space="preserve">Le principe de précaution : zoom </w:t>
      </w:r>
      <w:r w:rsidR="00160878">
        <w:rPr>
          <w:rFonts w:ascii="Times New Roman" w:hAnsi="Times New Roman" w:cs="Times New Roman"/>
        </w:rPr>
        <w:t>sur les aspects privatistes du</w:t>
      </w:r>
      <w:r w:rsidR="00B930C4">
        <w:rPr>
          <w:rFonts w:ascii="Times New Roman" w:hAnsi="Times New Roman" w:cs="Times New Roman"/>
        </w:rPr>
        <w:t xml:space="preserve"> principe de précaution</w:t>
      </w:r>
      <w:r w:rsidR="00160878">
        <w:rPr>
          <w:rFonts w:ascii="Times New Roman" w:hAnsi="Times New Roman" w:cs="Times New Roman"/>
        </w:rPr>
        <w:t xml:space="preserve"> </w:t>
      </w:r>
      <w:r>
        <w:rPr>
          <w:rFonts w:ascii="Times New Roman" w:hAnsi="Times New Roman" w:cs="Times New Roman"/>
        </w:rPr>
        <w:t xml:space="preserve">(droit pénal et civil) </w:t>
      </w:r>
      <w:r w:rsidR="00160878">
        <w:rPr>
          <w:rFonts w:ascii="Times New Roman" w:hAnsi="Times New Roman" w:cs="Times New Roman"/>
        </w:rPr>
        <w:t>et le problèm</w:t>
      </w:r>
      <w:r>
        <w:rPr>
          <w:rFonts w:ascii="Times New Roman" w:hAnsi="Times New Roman" w:cs="Times New Roman"/>
        </w:rPr>
        <w:t xml:space="preserve">e de compétence du juge </w:t>
      </w:r>
      <w:proofErr w:type="spellStart"/>
      <w:r>
        <w:rPr>
          <w:rFonts w:ascii="Times New Roman" w:hAnsi="Times New Roman" w:cs="Times New Roman"/>
        </w:rPr>
        <w:t>adm</w:t>
      </w:r>
      <w:proofErr w:type="spellEnd"/>
      <w:r>
        <w:rPr>
          <w:rFonts w:ascii="Times New Roman" w:hAnsi="Times New Roman" w:cs="Times New Roman"/>
        </w:rPr>
        <w:t>/</w:t>
      </w:r>
      <w:proofErr w:type="spellStart"/>
      <w:r>
        <w:rPr>
          <w:rFonts w:ascii="Times New Roman" w:hAnsi="Times New Roman" w:cs="Times New Roman"/>
        </w:rPr>
        <w:t>jud</w:t>
      </w:r>
      <w:proofErr w:type="spellEnd"/>
    </w:p>
    <w:p w:rsidR="00160878" w:rsidRDefault="00160878" w:rsidP="00160878">
      <w:pPr>
        <w:pStyle w:val="Paragraphedeliste"/>
        <w:jc w:val="both"/>
        <w:rPr>
          <w:rFonts w:ascii="Times New Roman" w:hAnsi="Times New Roman" w:cs="Times New Roman"/>
        </w:rPr>
      </w:pPr>
    </w:p>
    <w:p w:rsidR="000332CD" w:rsidRPr="00156547" w:rsidRDefault="000332CD" w:rsidP="000332CD">
      <w:pPr>
        <w:jc w:val="both"/>
        <w:rPr>
          <w:rFonts w:ascii="Times New Roman" w:hAnsi="Times New Roman" w:cs="Times New Roman"/>
        </w:rPr>
      </w:pPr>
      <w:r w:rsidRPr="00156547">
        <w:rPr>
          <w:rFonts w:ascii="Times New Roman" w:hAnsi="Times New Roman" w:cs="Times New Roman"/>
        </w:rPr>
        <w:t xml:space="preserve">V. </w:t>
      </w:r>
    </w:p>
    <w:p w:rsidR="000332CD" w:rsidRPr="00156547" w:rsidRDefault="000332CD" w:rsidP="000332CD">
      <w:pPr>
        <w:jc w:val="both"/>
        <w:rPr>
          <w:rFonts w:ascii="Times New Roman" w:hAnsi="Times New Roman" w:cs="Times New Roman"/>
        </w:rPr>
      </w:pPr>
      <w:r w:rsidRPr="00156547">
        <w:rPr>
          <w:rFonts w:ascii="Times New Roman" w:hAnsi="Times New Roman" w:cs="Times New Roman"/>
        </w:rPr>
        <w:t>- Étude de la Charte de l’environnement</w:t>
      </w:r>
    </w:p>
    <w:p w:rsidR="000332CD" w:rsidRPr="00156547" w:rsidRDefault="000332CD" w:rsidP="000332CD">
      <w:pPr>
        <w:jc w:val="both"/>
        <w:rPr>
          <w:rFonts w:ascii="Times New Roman" w:hAnsi="Times New Roman" w:cs="Times New Roman"/>
        </w:rPr>
      </w:pPr>
      <w:r w:rsidRPr="00156547">
        <w:rPr>
          <w:rFonts w:ascii="Times New Roman" w:hAnsi="Times New Roman" w:cs="Times New Roman"/>
        </w:rPr>
        <w:t>- V. David, « La lente consécration de la nature, sujet de droit, Le monde est-il enfin Stone ? », RJE 2012/3, p. 469 et s. </w:t>
      </w:r>
    </w:p>
    <w:p w:rsidR="000332CD" w:rsidRPr="00156547" w:rsidRDefault="000332CD" w:rsidP="000332CD">
      <w:pPr>
        <w:jc w:val="both"/>
        <w:rPr>
          <w:rFonts w:ascii="Times New Roman" w:hAnsi="Times New Roman" w:cs="Times New Roman"/>
        </w:rPr>
      </w:pPr>
      <w:r w:rsidRPr="00156547">
        <w:rPr>
          <w:rFonts w:ascii="Times New Roman" w:hAnsi="Times New Roman" w:cs="Times New Roman"/>
        </w:rPr>
        <w:t xml:space="preserve">- M.A. </w:t>
      </w:r>
      <w:proofErr w:type="spellStart"/>
      <w:r w:rsidRPr="00156547">
        <w:rPr>
          <w:rFonts w:ascii="Times New Roman" w:hAnsi="Times New Roman" w:cs="Times New Roman"/>
        </w:rPr>
        <w:t>Hermitte</w:t>
      </w:r>
      <w:proofErr w:type="spellEnd"/>
      <w:r w:rsidRPr="00156547">
        <w:rPr>
          <w:rFonts w:ascii="Times New Roman" w:hAnsi="Times New Roman" w:cs="Times New Roman"/>
        </w:rPr>
        <w:t>, « La nature, sujet de droit ? », Annales, Histoire, Sciences Sociales 2011/1, n° 66, p. 173</w:t>
      </w:r>
      <w:r w:rsidR="00DE295D" w:rsidRPr="00156547">
        <w:rPr>
          <w:rFonts w:ascii="Times New Roman" w:hAnsi="Times New Roman" w:cs="Times New Roman"/>
        </w:rPr>
        <w:t xml:space="preserve"> et s.</w:t>
      </w:r>
    </w:p>
    <w:p w:rsidR="00DE295D" w:rsidRPr="00156547" w:rsidRDefault="00DE295D" w:rsidP="000332CD">
      <w:pPr>
        <w:jc w:val="both"/>
        <w:rPr>
          <w:rFonts w:ascii="Times New Roman" w:hAnsi="Times New Roman" w:cs="Times New Roman"/>
        </w:rPr>
      </w:pPr>
      <w:r w:rsidRPr="00156547">
        <w:rPr>
          <w:rFonts w:ascii="Times New Roman" w:hAnsi="Times New Roman" w:cs="Times New Roman"/>
        </w:rPr>
        <w:lastRenderedPageBreak/>
        <w:t xml:space="preserve">- E. Fernandez </w:t>
      </w:r>
      <w:proofErr w:type="spellStart"/>
      <w:r w:rsidRPr="00156547">
        <w:rPr>
          <w:rFonts w:ascii="Times New Roman" w:hAnsi="Times New Roman" w:cs="Times New Roman"/>
        </w:rPr>
        <w:t>Fernandez</w:t>
      </w:r>
      <w:proofErr w:type="spellEnd"/>
      <w:r w:rsidRPr="00156547">
        <w:rPr>
          <w:rFonts w:ascii="Times New Roman" w:hAnsi="Times New Roman" w:cs="Times New Roman"/>
        </w:rPr>
        <w:t xml:space="preserve">, « Les controverses autour de l’intérêt à agir pour l’accès au juge constitutionnel : de la défense du droit à l’environnement (Costa Rica) à la défense des droits de la nature (Équateur) », </w:t>
      </w:r>
      <w:proofErr w:type="spellStart"/>
      <w:r w:rsidRPr="00156547">
        <w:rPr>
          <w:rFonts w:ascii="Times New Roman" w:hAnsi="Times New Roman" w:cs="Times New Roman"/>
        </w:rPr>
        <w:t>VertigO</w:t>
      </w:r>
      <w:proofErr w:type="spellEnd"/>
      <w:r w:rsidRPr="00156547">
        <w:rPr>
          <w:rFonts w:ascii="Times New Roman" w:hAnsi="Times New Roman" w:cs="Times New Roman"/>
        </w:rPr>
        <w:t xml:space="preserve"> - la revue électronique en sciences de l'environnement [En ligne], Hors-série 22 septembre 2015, mis en ligne le 10 septembre 2015</w:t>
      </w:r>
    </w:p>
    <w:p w:rsidR="00DE295D" w:rsidRPr="00156547" w:rsidRDefault="00DE295D" w:rsidP="000332CD">
      <w:pPr>
        <w:jc w:val="both"/>
        <w:rPr>
          <w:rFonts w:ascii="Times New Roman" w:hAnsi="Times New Roman" w:cs="Times New Roman"/>
        </w:rPr>
      </w:pPr>
      <w:r w:rsidRPr="00156547">
        <w:rPr>
          <w:rFonts w:ascii="Times New Roman" w:hAnsi="Times New Roman" w:cs="Times New Roman"/>
        </w:rPr>
        <w:t xml:space="preserve">- Conseil Constitutionnel, </w:t>
      </w:r>
      <w:proofErr w:type="spellStart"/>
      <w:r w:rsidRPr="00156547">
        <w:rPr>
          <w:rFonts w:ascii="Times New Roman" w:hAnsi="Times New Roman" w:cs="Times New Roman"/>
        </w:rPr>
        <w:t>Dec</w:t>
      </w:r>
      <w:proofErr w:type="spellEnd"/>
      <w:r w:rsidRPr="00156547">
        <w:rPr>
          <w:rFonts w:ascii="Times New Roman" w:hAnsi="Times New Roman" w:cs="Times New Roman"/>
        </w:rPr>
        <w:t xml:space="preserve">. N° 2011-116 QPC du 8 avril 2011, FOUCHER, AJDA 2011, p. 1158.- </w:t>
      </w:r>
      <w:proofErr w:type="spellStart"/>
      <w:r w:rsidRPr="00156547">
        <w:rPr>
          <w:rFonts w:ascii="Times New Roman" w:hAnsi="Times New Roman" w:cs="Times New Roman"/>
        </w:rPr>
        <w:t>Trébulle</w:t>
      </w:r>
      <w:proofErr w:type="spellEnd"/>
      <w:r w:rsidRPr="00156547">
        <w:rPr>
          <w:rFonts w:ascii="Times New Roman" w:hAnsi="Times New Roman" w:cs="Times New Roman"/>
        </w:rPr>
        <w:t>, RDI 2011, p. 369</w:t>
      </w:r>
    </w:p>
    <w:p w:rsidR="00DE295D" w:rsidRPr="00156547" w:rsidRDefault="00DE295D" w:rsidP="00DE295D">
      <w:pPr>
        <w:pStyle w:val="Notedebasdepage"/>
        <w:jc w:val="both"/>
        <w:rPr>
          <w:rFonts w:ascii="Times New Roman" w:hAnsi="Times New Roman" w:cs="Times New Roman"/>
          <w:sz w:val="24"/>
          <w:szCs w:val="24"/>
        </w:rPr>
      </w:pPr>
      <w:r w:rsidRPr="00156547">
        <w:rPr>
          <w:rFonts w:ascii="Times New Roman" w:hAnsi="Times New Roman" w:cs="Times New Roman"/>
          <w:sz w:val="24"/>
          <w:szCs w:val="24"/>
        </w:rPr>
        <w:t xml:space="preserve">- Décision en anglais de la High Court de </w:t>
      </w:r>
      <w:proofErr w:type="spellStart"/>
      <w:r w:rsidRPr="00156547">
        <w:rPr>
          <w:rFonts w:ascii="Times New Roman" w:hAnsi="Times New Roman" w:cs="Times New Roman"/>
          <w:sz w:val="24"/>
          <w:szCs w:val="24"/>
        </w:rPr>
        <w:t>Uttarakhand</w:t>
      </w:r>
      <w:proofErr w:type="spellEnd"/>
      <w:r w:rsidRPr="00156547">
        <w:rPr>
          <w:rFonts w:ascii="Times New Roman" w:hAnsi="Times New Roman" w:cs="Times New Roman"/>
          <w:sz w:val="24"/>
          <w:szCs w:val="24"/>
        </w:rPr>
        <w:t xml:space="preserve"> : </w:t>
      </w:r>
      <w:proofErr w:type="spellStart"/>
      <w:r w:rsidRPr="00156547">
        <w:rPr>
          <w:rFonts w:ascii="Times New Roman" w:hAnsi="Times New Roman" w:cs="Times New Roman"/>
          <w:sz w:val="24"/>
          <w:szCs w:val="24"/>
        </w:rPr>
        <w:t>Mohd</w:t>
      </w:r>
      <w:proofErr w:type="spellEnd"/>
      <w:r w:rsidRPr="00156547">
        <w:rPr>
          <w:rFonts w:ascii="Times New Roman" w:hAnsi="Times New Roman" w:cs="Times New Roman"/>
          <w:sz w:val="24"/>
          <w:szCs w:val="24"/>
        </w:rPr>
        <w:t xml:space="preserve">. </w:t>
      </w:r>
      <w:proofErr w:type="spellStart"/>
      <w:r w:rsidRPr="00156547">
        <w:rPr>
          <w:rFonts w:ascii="Times New Roman" w:hAnsi="Times New Roman" w:cs="Times New Roman"/>
          <w:sz w:val="24"/>
          <w:szCs w:val="24"/>
          <w:lang w:val="en-US"/>
        </w:rPr>
        <w:t>Salim</w:t>
      </w:r>
      <w:proofErr w:type="spellEnd"/>
      <w:r w:rsidRPr="00156547">
        <w:rPr>
          <w:rFonts w:ascii="Times New Roman" w:hAnsi="Times New Roman" w:cs="Times New Roman"/>
          <w:sz w:val="24"/>
          <w:szCs w:val="24"/>
          <w:lang w:val="en-US"/>
        </w:rPr>
        <w:t xml:space="preserve"> v. </w:t>
      </w:r>
      <w:proofErr w:type="spellStart"/>
      <w:r w:rsidRPr="00156547">
        <w:rPr>
          <w:rFonts w:ascii="Times New Roman" w:hAnsi="Times New Roman" w:cs="Times New Roman"/>
          <w:sz w:val="24"/>
          <w:szCs w:val="24"/>
          <w:lang w:val="en-US"/>
        </w:rPr>
        <w:t>Stata</w:t>
      </w:r>
      <w:proofErr w:type="spellEnd"/>
      <w:r w:rsidRPr="00156547">
        <w:rPr>
          <w:rFonts w:ascii="Times New Roman" w:hAnsi="Times New Roman" w:cs="Times New Roman"/>
          <w:sz w:val="24"/>
          <w:szCs w:val="24"/>
          <w:lang w:val="en-US"/>
        </w:rPr>
        <w:t xml:space="preserve"> of </w:t>
      </w:r>
      <w:proofErr w:type="spellStart"/>
      <w:r w:rsidRPr="00156547">
        <w:rPr>
          <w:rFonts w:ascii="Times New Roman" w:hAnsi="Times New Roman" w:cs="Times New Roman"/>
          <w:sz w:val="24"/>
          <w:szCs w:val="24"/>
          <w:lang w:val="en-US"/>
        </w:rPr>
        <w:t>Uttarakhand</w:t>
      </w:r>
      <w:proofErr w:type="spellEnd"/>
      <w:r w:rsidRPr="00156547">
        <w:rPr>
          <w:rFonts w:ascii="Times New Roman" w:hAnsi="Times New Roman" w:cs="Times New Roman"/>
          <w:sz w:val="24"/>
          <w:szCs w:val="24"/>
          <w:lang w:val="en-US"/>
        </w:rPr>
        <w:t xml:space="preserve"> and others, Writ Petition, n° 126, 2014, High Court of </w:t>
      </w:r>
      <w:proofErr w:type="spellStart"/>
      <w:r w:rsidRPr="00156547">
        <w:rPr>
          <w:rFonts w:ascii="Times New Roman" w:hAnsi="Times New Roman" w:cs="Times New Roman"/>
          <w:sz w:val="24"/>
          <w:szCs w:val="24"/>
          <w:lang w:val="en-US"/>
        </w:rPr>
        <w:t>Uttarakhand</w:t>
      </w:r>
      <w:proofErr w:type="spellEnd"/>
      <w:r w:rsidRPr="00156547">
        <w:rPr>
          <w:rFonts w:ascii="Times New Roman" w:hAnsi="Times New Roman" w:cs="Times New Roman"/>
          <w:sz w:val="24"/>
          <w:szCs w:val="24"/>
          <w:lang w:val="en-US"/>
        </w:rPr>
        <w:t xml:space="preserve"> at </w:t>
      </w:r>
      <w:proofErr w:type="spellStart"/>
      <w:r w:rsidRPr="00156547">
        <w:rPr>
          <w:rFonts w:ascii="Times New Roman" w:hAnsi="Times New Roman" w:cs="Times New Roman"/>
          <w:sz w:val="24"/>
          <w:szCs w:val="24"/>
          <w:lang w:val="en-US"/>
        </w:rPr>
        <w:t>Nainital</w:t>
      </w:r>
      <w:proofErr w:type="spellEnd"/>
      <w:r w:rsidRPr="00156547">
        <w:rPr>
          <w:rFonts w:ascii="Times New Roman" w:hAnsi="Times New Roman" w:cs="Times New Roman"/>
          <w:sz w:val="24"/>
          <w:szCs w:val="24"/>
          <w:lang w:val="en-US"/>
        </w:rPr>
        <w:t xml:space="preserve">, 20 mars 2017. </w:t>
      </w:r>
      <w:hyperlink r:id="rId6" w:history="1">
        <w:r w:rsidRPr="00156547">
          <w:rPr>
            <w:rStyle w:val="Lienhypertexte"/>
            <w:rFonts w:ascii="Times New Roman" w:hAnsi="Times New Roman" w:cs="Times New Roman"/>
            <w:sz w:val="24"/>
            <w:szCs w:val="24"/>
          </w:rPr>
          <w:t>https://drive.google.com/file/d/0BzXilfcxe7yuM3VRWTZDeEtmSGc/view</w:t>
        </w:r>
      </w:hyperlink>
    </w:p>
    <w:p w:rsidR="00DE295D" w:rsidRPr="00156547" w:rsidRDefault="00DE295D" w:rsidP="000332CD">
      <w:pPr>
        <w:jc w:val="both"/>
        <w:rPr>
          <w:rFonts w:ascii="Times New Roman" w:hAnsi="Times New Roman" w:cs="Times New Roman"/>
        </w:rPr>
      </w:pPr>
    </w:p>
    <w:p w:rsidR="00DE295D" w:rsidRPr="00156547" w:rsidRDefault="000B1577" w:rsidP="000332CD">
      <w:pPr>
        <w:jc w:val="both"/>
        <w:rPr>
          <w:rFonts w:ascii="Times New Roman" w:hAnsi="Times New Roman" w:cs="Times New Roman"/>
          <w:b/>
        </w:rPr>
      </w:pPr>
      <w:r w:rsidRPr="00156547">
        <w:rPr>
          <w:rFonts w:ascii="Times New Roman" w:hAnsi="Times New Roman" w:cs="Times New Roman"/>
          <w:b/>
        </w:rPr>
        <w:t>II -</w:t>
      </w:r>
      <w:r w:rsidR="00DE295D" w:rsidRPr="00156547">
        <w:rPr>
          <w:rFonts w:ascii="Times New Roman" w:hAnsi="Times New Roman" w:cs="Times New Roman"/>
          <w:b/>
        </w:rPr>
        <w:t xml:space="preserve"> Les normes nouvelles</w:t>
      </w:r>
    </w:p>
    <w:p w:rsidR="00DE295D" w:rsidRPr="00156547" w:rsidRDefault="00DE295D" w:rsidP="00DE295D">
      <w:pPr>
        <w:pStyle w:val="Paragraphedeliste"/>
        <w:numPr>
          <w:ilvl w:val="0"/>
          <w:numId w:val="3"/>
        </w:numPr>
        <w:jc w:val="both"/>
        <w:rPr>
          <w:rFonts w:ascii="Times New Roman" w:hAnsi="Times New Roman" w:cs="Times New Roman"/>
        </w:rPr>
      </w:pPr>
      <w:r w:rsidRPr="00156547">
        <w:rPr>
          <w:rFonts w:ascii="Times New Roman" w:hAnsi="Times New Roman" w:cs="Times New Roman"/>
        </w:rPr>
        <w:t>Les normes extracontractuelles</w:t>
      </w:r>
    </w:p>
    <w:p w:rsidR="00DE295D" w:rsidRPr="00156547" w:rsidRDefault="00DE295D" w:rsidP="00DE295D">
      <w:pPr>
        <w:pStyle w:val="Paragraphedeliste"/>
        <w:numPr>
          <w:ilvl w:val="0"/>
          <w:numId w:val="3"/>
        </w:numPr>
        <w:jc w:val="both"/>
        <w:rPr>
          <w:rFonts w:ascii="Times New Roman" w:hAnsi="Times New Roman" w:cs="Times New Roman"/>
        </w:rPr>
      </w:pPr>
      <w:r w:rsidRPr="00156547">
        <w:rPr>
          <w:rFonts w:ascii="Times New Roman" w:hAnsi="Times New Roman" w:cs="Times New Roman"/>
        </w:rPr>
        <w:t>Les normes contractuelles</w:t>
      </w:r>
    </w:p>
    <w:p w:rsidR="000B1577" w:rsidRPr="00156547" w:rsidRDefault="000B1577" w:rsidP="00DE295D">
      <w:pPr>
        <w:pStyle w:val="Paragraphedeliste"/>
        <w:numPr>
          <w:ilvl w:val="0"/>
          <w:numId w:val="3"/>
        </w:numPr>
        <w:jc w:val="both"/>
        <w:rPr>
          <w:rFonts w:ascii="Times New Roman" w:hAnsi="Times New Roman" w:cs="Times New Roman"/>
        </w:rPr>
      </w:pPr>
      <w:r w:rsidRPr="00156547">
        <w:rPr>
          <w:rFonts w:ascii="Times New Roman" w:hAnsi="Times New Roman" w:cs="Times New Roman"/>
        </w:rPr>
        <w:t>La portée : l’avènement d’un ordre non étatique transnational de l’environnement ?</w:t>
      </w:r>
    </w:p>
    <w:p w:rsidR="00DE295D" w:rsidRPr="00156547" w:rsidRDefault="00DE295D" w:rsidP="00DE295D">
      <w:pPr>
        <w:jc w:val="both"/>
        <w:rPr>
          <w:rFonts w:ascii="Times New Roman" w:hAnsi="Times New Roman" w:cs="Times New Roman"/>
        </w:rPr>
      </w:pPr>
      <w:r w:rsidRPr="00156547">
        <w:rPr>
          <w:rFonts w:ascii="Times New Roman" w:hAnsi="Times New Roman" w:cs="Times New Roman"/>
        </w:rPr>
        <w:t xml:space="preserve">V. </w:t>
      </w:r>
    </w:p>
    <w:p w:rsidR="00DE295D" w:rsidRPr="00156547" w:rsidRDefault="00DE295D" w:rsidP="00DE295D">
      <w:pPr>
        <w:jc w:val="both"/>
        <w:rPr>
          <w:rFonts w:ascii="Times New Roman" w:hAnsi="Times New Roman" w:cs="Times New Roman"/>
        </w:rPr>
      </w:pPr>
      <w:r w:rsidRPr="00156547">
        <w:rPr>
          <w:rFonts w:ascii="Times New Roman" w:hAnsi="Times New Roman" w:cs="Times New Roman"/>
        </w:rPr>
        <w:t xml:space="preserve">- L. Fontaine, </w:t>
      </w:r>
      <w:r w:rsidR="00C856F3">
        <w:rPr>
          <w:rFonts w:ascii="Times New Roman" w:hAnsi="Times New Roman" w:cs="Times New Roman"/>
        </w:rPr>
        <w:t>« </w:t>
      </w:r>
      <w:r w:rsidRPr="00156547">
        <w:rPr>
          <w:rFonts w:ascii="Times New Roman" w:hAnsi="Times New Roman" w:cs="Times New Roman"/>
        </w:rPr>
        <w:t xml:space="preserve">Les sources </w:t>
      </w:r>
      <w:r w:rsidR="007B351E" w:rsidRPr="00156547">
        <w:rPr>
          <w:rFonts w:ascii="Times New Roman" w:hAnsi="Times New Roman" w:cs="Times New Roman"/>
        </w:rPr>
        <w:t>nouvelles en droit de l’environnement</w:t>
      </w:r>
      <w:r w:rsidR="00C856F3">
        <w:rPr>
          <w:rFonts w:ascii="Times New Roman" w:hAnsi="Times New Roman" w:cs="Times New Roman"/>
        </w:rPr>
        <w:t> »</w:t>
      </w:r>
      <w:r w:rsidR="007B351E" w:rsidRPr="00156547">
        <w:rPr>
          <w:rFonts w:ascii="Times New Roman" w:hAnsi="Times New Roman" w:cs="Times New Roman"/>
        </w:rPr>
        <w:t>, in Le droit et l’environnement, Dalloz Thèmes et commentaires, 2010.</w:t>
      </w:r>
    </w:p>
    <w:p w:rsidR="000B1577" w:rsidRPr="00156547" w:rsidRDefault="000B1577" w:rsidP="000B1577">
      <w:pPr>
        <w:pStyle w:val="Notedebasdepage"/>
        <w:jc w:val="both"/>
        <w:rPr>
          <w:rFonts w:ascii="Times New Roman" w:hAnsi="Times New Roman" w:cs="Times New Roman"/>
          <w:sz w:val="24"/>
          <w:szCs w:val="24"/>
        </w:rPr>
      </w:pPr>
      <w:r w:rsidRPr="00156547">
        <w:rPr>
          <w:rFonts w:ascii="Times New Roman" w:hAnsi="Times New Roman" w:cs="Times New Roman"/>
          <w:sz w:val="24"/>
          <w:szCs w:val="24"/>
        </w:rPr>
        <w:t>- G. de Lassus Saint-</w:t>
      </w:r>
      <w:proofErr w:type="spellStart"/>
      <w:r w:rsidRPr="00156547">
        <w:rPr>
          <w:rFonts w:ascii="Times New Roman" w:hAnsi="Times New Roman" w:cs="Times New Roman"/>
          <w:sz w:val="24"/>
          <w:szCs w:val="24"/>
        </w:rPr>
        <w:t>Genies</w:t>
      </w:r>
      <w:proofErr w:type="spellEnd"/>
      <w:r w:rsidRPr="00156547">
        <w:rPr>
          <w:rFonts w:ascii="Times New Roman" w:hAnsi="Times New Roman" w:cs="Times New Roman"/>
          <w:sz w:val="24"/>
          <w:szCs w:val="24"/>
        </w:rPr>
        <w:t>, « À la recherche d’un droit transnational des changements climatiques », RJE 2016/1, p. 81 et s.</w:t>
      </w:r>
    </w:p>
    <w:p w:rsidR="000B1577" w:rsidRPr="00156547" w:rsidRDefault="000B1577" w:rsidP="000B1577">
      <w:pPr>
        <w:jc w:val="both"/>
        <w:rPr>
          <w:rFonts w:ascii="Times New Roman" w:eastAsia="Times New Roman" w:hAnsi="Times New Roman" w:cs="Times New Roman"/>
          <w:color w:val="2A2A2A"/>
          <w:shd w:val="clear" w:color="auto" w:fill="FFFFFF"/>
          <w:lang w:val="en-US"/>
        </w:rPr>
      </w:pPr>
      <w:r w:rsidRPr="00156547">
        <w:rPr>
          <w:rFonts w:ascii="Times New Roman" w:hAnsi="Times New Roman" w:cs="Times New Roman"/>
          <w:lang w:val="en-US"/>
        </w:rPr>
        <w:t xml:space="preserve">- J. G. </w:t>
      </w:r>
      <w:proofErr w:type="spellStart"/>
      <w:r w:rsidRPr="00156547">
        <w:rPr>
          <w:rFonts w:ascii="Times New Roman" w:hAnsi="Times New Roman" w:cs="Times New Roman"/>
          <w:lang w:val="en-US"/>
        </w:rPr>
        <w:t>Ruggie</w:t>
      </w:r>
      <w:proofErr w:type="spellEnd"/>
      <w:r w:rsidRPr="00156547">
        <w:rPr>
          <w:rFonts w:ascii="Times New Roman" w:hAnsi="Times New Roman" w:cs="Times New Roman"/>
          <w:lang w:val="en-US"/>
        </w:rPr>
        <w:t xml:space="preserve"> et J. F. Sherman, </w:t>
      </w:r>
      <w:r w:rsidR="00C856F3">
        <w:rPr>
          <w:rFonts w:ascii="Times New Roman" w:hAnsi="Times New Roman" w:cs="Times New Roman"/>
          <w:lang w:val="en-US"/>
        </w:rPr>
        <w:t>“</w:t>
      </w:r>
      <w:r w:rsidRPr="00156547">
        <w:rPr>
          <w:rFonts w:ascii="Times New Roman" w:hAnsi="Times New Roman" w:cs="Times New Roman"/>
          <w:lang w:val="en-US"/>
        </w:rPr>
        <w:t xml:space="preserve">Adding Human Rights Punch to the New </w:t>
      </w:r>
      <w:proofErr w:type="spellStart"/>
      <w:r w:rsidRPr="00156547">
        <w:rPr>
          <w:rFonts w:ascii="Times New Roman" w:hAnsi="Times New Roman" w:cs="Times New Roman"/>
          <w:lang w:val="en-US"/>
        </w:rPr>
        <w:t>Lex</w:t>
      </w:r>
      <w:proofErr w:type="spellEnd"/>
      <w:r w:rsidRPr="00156547">
        <w:rPr>
          <w:rFonts w:ascii="Times New Roman" w:hAnsi="Times New Roman" w:cs="Times New Roman"/>
          <w:lang w:val="en-US"/>
        </w:rPr>
        <w:t xml:space="preserve"> </w:t>
      </w:r>
      <w:proofErr w:type="spellStart"/>
      <w:r w:rsidRPr="00156547">
        <w:rPr>
          <w:rFonts w:ascii="Times New Roman" w:hAnsi="Times New Roman" w:cs="Times New Roman"/>
          <w:lang w:val="en-US"/>
        </w:rPr>
        <w:t>Mercatoria</w:t>
      </w:r>
      <w:proofErr w:type="spellEnd"/>
      <w:r w:rsidRPr="00156547">
        <w:rPr>
          <w:rFonts w:ascii="Times New Roman" w:hAnsi="Times New Roman" w:cs="Times New Roman"/>
          <w:lang w:val="en-US"/>
        </w:rPr>
        <w:t>: The Impact of the UN Guiding Principles on Business and Human Rights on Commercial Legal Practice</w:t>
      </w:r>
      <w:r w:rsidR="00C856F3">
        <w:rPr>
          <w:rFonts w:ascii="Times New Roman" w:hAnsi="Times New Roman" w:cs="Times New Roman"/>
          <w:lang w:val="en-US"/>
        </w:rPr>
        <w:t>”</w:t>
      </w:r>
      <w:proofErr w:type="gramStart"/>
      <w:r w:rsidRPr="00156547">
        <w:rPr>
          <w:rFonts w:ascii="Times New Roman" w:hAnsi="Times New Roman" w:cs="Times New Roman"/>
          <w:lang w:val="en-US"/>
        </w:rPr>
        <w:t>,  Journal</w:t>
      </w:r>
      <w:proofErr w:type="gramEnd"/>
      <w:r w:rsidRPr="00156547">
        <w:rPr>
          <w:rFonts w:ascii="Times New Roman" w:hAnsi="Times New Roman" w:cs="Times New Roman"/>
          <w:lang w:val="en-US"/>
        </w:rPr>
        <w:t xml:space="preserve"> of International Dispute Settlement, 2015, Vol. 6, p. 455</w:t>
      </w:r>
      <w:r w:rsidRPr="00156547">
        <w:rPr>
          <w:rFonts w:ascii="Times New Roman" w:eastAsia="Times New Roman" w:hAnsi="Times New Roman" w:cs="Times New Roman"/>
          <w:color w:val="2A2A2A"/>
          <w:shd w:val="clear" w:color="auto" w:fill="FFFFFF"/>
          <w:lang w:val="en-US"/>
        </w:rPr>
        <w:t>.</w:t>
      </w:r>
    </w:p>
    <w:p w:rsidR="00156547" w:rsidRPr="00156547" w:rsidRDefault="00156547" w:rsidP="00156547">
      <w:pPr>
        <w:pStyle w:val="Notedebasdepage"/>
        <w:jc w:val="both"/>
        <w:rPr>
          <w:rFonts w:ascii="Times New Roman" w:hAnsi="Times New Roman" w:cs="Times New Roman"/>
          <w:sz w:val="24"/>
          <w:szCs w:val="24"/>
          <w:lang w:val="en-US"/>
        </w:rPr>
      </w:pPr>
      <w:r w:rsidRPr="00156547">
        <w:rPr>
          <w:rFonts w:ascii="Times New Roman" w:eastAsia="Times New Roman" w:hAnsi="Times New Roman" w:cs="Times New Roman"/>
          <w:color w:val="2A2A2A"/>
          <w:sz w:val="24"/>
          <w:szCs w:val="24"/>
          <w:shd w:val="clear" w:color="auto" w:fill="FFFFFF"/>
          <w:lang w:val="en-US"/>
        </w:rPr>
        <w:t xml:space="preserve">- </w:t>
      </w:r>
      <w:r w:rsidRPr="00156547">
        <w:rPr>
          <w:rFonts w:ascii="Times New Roman" w:hAnsi="Times New Roman" w:cs="Times New Roman"/>
          <w:sz w:val="24"/>
          <w:szCs w:val="24"/>
          <w:lang w:val="en-US"/>
        </w:rPr>
        <w:t xml:space="preserve">K. </w:t>
      </w:r>
      <w:proofErr w:type="spellStart"/>
      <w:r w:rsidRPr="00156547">
        <w:rPr>
          <w:rFonts w:ascii="Times New Roman" w:hAnsi="Times New Roman" w:cs="Times New Roman"/>
          <w:sz w:val="24"/>
          <w:szCs w:val="24"/>
          <w:lang w:val="en-US"/>
        </w:rPr>
        <w:t>Peterkova</w:t>
      </w:r>
      <w:proofErr w:type="spellEnd"/>
      <w:r w:rsidRPr="00156547">
        <w:rPr>
          <w:rFonts w:ascii="Times New Roman" w:hAnsi="Times New Roman" w:cs="Times New Roman"/>
          <w:sz w:val="24"/>
          <w:szCs w:val="24"/>
          <w:lang w:val="en-US"/>
        </w:rPr>
        <w:t xml:space="preserve"> </w:t>
      </w:r>
      <w:proofErr w:type="spellStart"/>
      <w:r w:rsidRPr="00156547">
        <w:rPr>
          <w:rFonts w:ascii="Times New Roman" w:hAnsi="Times New Roman" w:cs="Times New Roman"/>
          <w:sz w:val="24"/>
          <w:szCs w:val="24"/>
          <w:lang w:val="en-US"/>
        </w:rPr>
        <w:t>mitkidis</w:t>
      </w:r>
      <w:proofErr w:type="spellEnd"/>
      <w:r w:rsidRPr="00156547">
        <w:rPr>
          <w:rFonts w:ascii="Times New Roman" w:hAnsi="Times New Roman" w:cs="Times New Roman"/>
          <w:sz w:val="24"/>
          <w:szCs w:val="24"/>
          <w:lang w:val="en-US"/>
        </w:rPr>
        <w:t xml:space="preserve">, </w:t>
      </w:r>
      <w:r w:rsidR="00C856F3">
        <w:rPr>
          <w:rFonts w:ascii="Times New Roman" w:hAnsi="Times New Roman" w:cs="Times New Roman"/>
          <w:sz w:val="24"/>
          <w:szCs w:val="24"/>
          <w:lang w:val="en-US"/>
        </w:rPr>
        <w:t>“</w:t>
      </w:r>
      <w:r w:rsidRPr="00156547">
        <w:rPr>
          <w:rFonts w:ascii="Times New Roman" w:hAnsi="Times New Roman" w:cs="Times New Roman"/>
          <w:sz w:val="24"/>
          <w:szCs w:val="24"/>
          <w:lang w:val="en-US"/>
        </w:rPr>
        <w:t>Using Private Contracts for climate Change Mitigation</w:t>
      </w:r>
      <w:r w:rsidR="00C856F3">
        <w:rPr>
          <w:rFonts w:ascii="Times New Roman" w:hAnsi="Times New Roman" w:cs="Times New Roman"/>
          <w:sz w:val="24"/>
          <w:szCs w:val="24"/>
          <w:lang w:val="en-US"/>
        </w:rPr>
        <w:t>”</w:t>
      </w:r>
      <w:r w:rsidRPr="00156547">
        <w:rPr>
          <w:rFonts w:ascii="Times New Roman" w:hAnsi="Times New Roman" w:cs="Times New Roman"/>
          <w:sz w:val="24"/>
          <w:szCs w:val="24"/>
          <w:lang w:val="en-US"/>
        </w:rPr>
        <w:t>, Groningen Journal of International Law, Vol. 2 (1), Energy and Environmental Law, p. 59.</w:t>
      </w:r>
    </w:p>
    <w:p w:rsidR="00156547" w:rsidRPr="00156547" w:rsidRDefault="00156547" w:rsidP="000B1577">
      <w:pPr>
        <w:jc w:val="both"/>
        <w:rPr>
          <w:rFonts w:ascii="Times New Roman" w:hAnsi="Times New Roman" w:cs="Times New Roman"/>
          <w:lang w:val="en-US"/>
        </w:rPr>
      </w:pPr>
    </w:p>
    <w:p w:rsidR="00156547" w:rsidRPr="00156547" w:rsidRDefault="00156547" w:rsidP="000B1577">
      <w:pPr>
        <w:jc w:val="both"/>
        <w:rPr>
          <w:rFonts w:ascii="Times New Roman" w:hAnsi="Times New Roman" w:cs="Times New Roman"/>
          <w:b/>
        </w:rPr>
      </w:pPr>
      <w:r w:rsidRPr="00156547">
        <w:rPr>
          <w:rFonts w:ascii="Times New Roman" w:hAnsi="Times New Roman" w:cs="Times New Roman"/>
          <w:b/>
        </w:rPr>
        <w:t>Section 2 – La complémentarité normative des ordres juridiques</w:t>
      </w:r>
    </w:p>
    <w:p w:rsidR="00156547" w:rsidRPr="00156547" w:rsidRDefault="00156547" w:rsidP="000B1577">
      <w:pPr>
        <w:jc w:val="both"/>
        <w:rPr>
          <w:rFonts w:ascii="Times New Roman" w:hAnsi="Times New Roman" w:cs="Times New Roman"/>
        </w:rPr>
      </w:pPr>
    </w:p>
    <w:p w:rsidR="00156547" w:rsidRPr="00156547" w:rsidRDefault="00156547" w:rsidP="000B1577">
      <w:pPr>
        <w:jc w:val="both"/>
        <w:rPr>
          <w:rFonts w:ascii="Times New Roman" w:hAnsi="Times New Roman" w:cs="Times New Roman"/>
          <w:b/>
        </w:rPr>
      </w:pPr>
      <w:r w:rsidRPr="00156547">
        <w:rPr>
          <w:rFonts w:ascii="Times New Roman" w:hAnsi="Times New Roman" w:cs="Times New Roman"/>
          <w:b/>
        </w:rPr>
        <w:t>I – La complémentarité du côté des normes</w:t>
      </w:r>
    </w:p>
    <w:p w:rsidR="00156547" w:rsidRPr="00156547" w:rsidRDefault="00156547" w:rsidP="00156547">
      <w:pPr>
        <w:pStyle w:val="Paragraphedeliste"/>
        <w:numPr>
          <w:ilvl w:val="0"/>
          <w:numId w:val="5"/>
        </w:numPr>
        <w:jc w:val="both"/>
        <w:rPr>
          <w:rFonts w:ascii="Times New Roman" w:hAnsi="Times New Roman" w:cs="Times New Roman"/>
        </w:rPr>
      </w:pPr>
      <w:r w:rsidRPr="00156547">
        <w:rPr>
          <w:rFonts w:ascii="Times New Roman" w:hAnsi="Times New Roman" w:cs="Times New Roman"/>
        </w:rPr>
        <w:t>La concrétisation des normes</w:t>
      </w:r>
    </w:p>
    <w:p w:rsidR="00156547" w:rsidRPr="00156547" w:rsidRDefault="00156547" w:rsidP="00156547">
      <w:pPr>
        <w:pStyle w:val="Paragraphedeliste"/>
        <w:numPr>
          <w:ilvl w:val="0"/>
          <w:numId w:val="5"/>
        </w:numPr>
        <w:jc w:val="both"/>
        <w:rPr>
          <w:rFonts w:ascii="Times New Roman" w:hAnsi="Times New Roman" w:cs="Times New Roman"/>
        </w:rPr>
      </w:pPr>
      <w:r w:rsidRPr="00156547">
        <w:rPr>
          <w:rFonts w:ascii="Times New Roman" w:hAnsi="Times New Roman" w:cs="Times New Roman"/>
        </w:rPr>
        <w:t>La sanction des normes</w:t>
      </w:r>
    </w:p>
    <w:p w:rsidR="00156547" w:rsidRPr="00156547" w:rsidRDefault="00156547" w:rsidP="00156547">
      <w:pPr>
        <w:jc w:val="both"/>
        <w:rPr>
          <w:rFonts w:ascii="Times New Roman" w:hAnsi="Times New Roman" w:cs="Times New Roman"/>
        </w:rPr>
      </w:pPr>
    </w:p>
    <w:p w:rsidR="00156547" w:rsidRPr="00156547" w:rsidRDefault="00156547" w:rsidP="00156547">
      <w:pPr>
        <w:jc w:val="both"/>
        <w:rPr>
          <w:rFonts w:ascii="Times New Roman" w:hAnsi="Times New Roman" w:cs="Times New Roman"/>
          <w:b/>
        </w:rPr>
      </w:pPr>
      <w:r w:rsidRPr="00156547">
        <w:rPr>
          <w:rFonts w:ascii="Times New Roman" w:hAnsi="Times New Roman" w:cs="Times New Roman"/>
          <w:b/>
        </w:rPr>
        <w:t>II – La complémentarité du côté des acteurs</w:t>
      </w:r>
    </w:p>
    <w:p w:rsidR="00156547" w:rsidRPr="00156547" w:rsidRDefault="00156547" w:rsidP="00156547">
      <w:pPr>
        <w:jc w:val="both"/>
        <w:rPr>
          <w:rFonts w:ascii="Times New Roman" w:hAnsi="Times New Roman" w:cs="Times New Roman"/>
        </w:rPr>
      </w:pPr>
    </w:p>
    <w:p w:rsidR="00156547" w:rsidRPr="00156547" w:rsidRDefault="00156547" w:rsidP="00156547">
      <w:pPr>
        <w:pStyle w:val="Paragraphedeliste"/>
        <w:numPr>
          <w:ilvl w:val="0"/>
          <w:numId w:val="6"/>
        </w:numPr>
        <w:jc w:val="both"/>
        <w:rPr>
          <w:rFonts w:ascii="Times New Roman" w:hAnsi="Times New Roman" w:cs="Times New Roman"/>
        </w:rPr>
      </w:pPr>
      <w:r w:rsidRPr="00156547">
        <w:rPr>
          <w:rFonts w:ascii="Times New Roman" w:hAnsi="Times New Roman" w:cs="Times New Roman"/>
        </w:rPr>
        <w:t>Les acteurs étatiques, infra et non étatique : l’exemple du climat</w:t>
      </w:r>
    </w:p>
    <w:p w:rsidR="00ED2622" w:rsidRDefault="00156547" w:rsidP="00156547">
      <w:pPr>
        <w:pStyle w:val="Paragraphedeliste"/>
        <w:numPr>
          <w:ilvl w:val="0"/>
          <w:numId w:val="6"/>
        </w:numPr>
        <w:jc w:val="both"/>
        <w:rPr>
          <w:rFonts w:ascii="Times New Roman" w:hAnsi="Times New Roman" w:cs="Times New Roman"/>
        </w:rPr>
      </w:pPr>
      <w:r w:rsidRPr="00156547">
        <w:rPr>
          <w:rFonts w:ascii="Times New Roman" w:hAnsi="Times New Roman" w:cs="Times New Roman"/>
        </w:rPr>
        <w:t>Le juge </w:t>
      </w:r>
    </w:p>
    <w:p w:rsidR="00ED2622" w:rsidRDefault="00ED2622" w:rsidP="00ED2622">
      <w:pPr>
        <w:pStyle w:val="Paragraphedeliste"/>
        <w:numPr>
          <w:ilvl w:val="0"/>
          <w:numId w:val="8"/>
        </w:numPr>
        <w:jc w:val="both"/>
        <w:rPr>
          <w:rFonts w:ascii="Times New Roman" w:hAnsi="Times New Roman" w:cs="Times New Roman"/>
        </w:rPr>
      </w:pPr>
      <w:r>
        <w:rPr>
          <w:rFonts w:ascii="Times New Roman" w:hAnsi="Times New Roman" w:cs="Times New Roman"/>
        </w:rPr>
        <w:t>Les actions en justice dans le domaine environnemental</w:t>
      </w:r>
    </w:p>
    <w:p w:rsidR="00156547" w:rsidRPr="00ED2622" w:rsidRDefault="00ED2622" w:rsidP="00ED2622">
      <w:pPr>
        <w:pStyle w:val="Paragraphedeliste"/>
        <w:numPr>
          <w:ilvl w:val="0"/>
          <w:numId w:val="8"/>
        </w:numPr>
        <w:jc w:val="both"/>
        <w:rPr>
          <w:rFonts w:ascii="Times New Roman" w:hAnsi="Times New Roman" w:cs="Times New Roman"/>
        </w:rPr>
      </w:pPr>
      <w:r>
        <w:rPr>
          <w:rFonts w:ascii="Times New Roman" w:hAnsi="Times New Roman" w:cs="Times New Roman"/>
        </w:rPr>
        <w:t xml:space="preserve">L’originalité au niveau mondial : </w:t>
      </w:r>
      <w:r w:rsidR="00156547" w:rsidRPr="00ED2622">
        <w:rPr>
          <w:rFonts w:ascii="Times New Roman" w:hAnsi="Times New Roman" w:cs="Times New Roman"/>
        </w:rPr>
        <w:t>l’exemple du climat</w:t>
      </w:r>
    </w:p>
    <w:p w:rsidR="00156547" w:rsidRPr="00156547" w:rsidRDefault="00156547" w:rsidP="00156547">
      <w:pPr>
        <w:jc w:val="both"/>
        <w:rPr>
          <w:rFonts w:ascii="Times New Roman" w:hAnsi="Times New Roman" w:cs="Times New Roman"/>
        </w:rPr>
      </w:pPr>
    </w:p>
    <w:p w:rsidR="00156547" w:rsidRPr="00156547" w:rsidRDefault="00156547" w:rsidP="00156547">
      <w:pPr>
        <w:jc w:val="both"/>
        <w:rPr>
          <w:rFonts w:ascii="Times New Roman" w:hAnsi="Times New Roman" w:cs="Times New Roman"/>
        </w:rPr>
      </w:pPr>
      <w:r w:rsidRPr="00156547">
        <w:rPr>
          <w:rFonts w:ascii="Times New Roman" w:hAnsi="Times New Roman" w:cs="Times New Roman"/>
        </w:rPr>
        <w:t xml:space="preserve">V. </w:t>
      </w:r>
    </w:p>
    <w:p w:rsidR="00156547" w:rsidRPr="00156547" w:rsidRDefault="00156547" w:rsidP="00156547">
      <w:pPr>
        <w:jc w:val="both"/>
        <w:rPr>
          <w:rFonts w:ascii="Times New Roman" w:hAnsi="Times New Roman" w:cs="Times New Roman"/>
        </w:rPr>
      </w:pPr>
      <w:r w:rsidRPr="00156547">
        <w:rPr>
          <w:rFonts w:ascii="Times New Roman" w:hAnsi="Times New Roman" w:cs="Times New Roman"/>
        </w:rPr>
        <w:t>P. Abadie, Le juge et la responsabilité sociale de l’entreprise, D. 2018, p. 302</w:t>
      </w:r>
    </w:p>
    <w:p w:rsidR="00156547" w:rsidRPr="00156547" w:rsidRDefault="00156547" w:rsidP="00156547">
      <w:pPr>
        <w:jc w:val="both"/>
        <w:rPr>
          <w:rFonts w:ascii="Times New Roman" w:hAnsi="Times New Roman" w:cs="Times New Roman"/>
        </w:rPr>
      </w:pPr>
      <w:r w:rsidRPr="00156547">
        <w:rPr>
          <w:rFonts w:ascii="Times New Roman" w:hAnsi="Times New Roman" w:cs="Times New Roman"/>
        </w:rPr>
        <w:t xml:space="preserve">I. MICHALLET, « De l’action locale au droit global : l’engagement climatique des villes », RJE 2017/4, numéro </w:t>
      </w:r>
      <w:proofErr w:type="spellStart"/>
      <w:r w:rsidRPr="00156547">
        <w:rPr>
          <w:rFonts w:ascii="Times New Roman" w:hAnsi="Times New Roman" w:cs="Times New Roman"/>
        </w:rPr>
        <w:t>spéc</w:t>
      </w:r>
      <w:proofErr w:type="spellEnd"/>
      <w:r w:rsidRPr="00156547">
        <w:rPr>
          <w:rFonts w:ascii="Times New Roman" w:hAnsi="Times New Roman" w:cs="Times New Roman"/>
        </w:rPr>
        <w:t xml:space="preserve">. </w:t>
      </w:r>
      <w:proofErr w:type="spellStart"/>
      <w:proofErr w:type="gramStart"/>
      <w:r w:rsidRPr="00156547">
        <w:rPr>
          <w:rFonts w:ascii="Times New Roman" w:hAnsi="Times New Roman" w:cs="Times New Roman"/>
        </w:rPr>
        <w:t>préc</w:t>
      </w:r>
      <w:proofErr w:type="spellEnd"/>
      <w:proofErr w:type="gramEnd"/>
      <w:r w:rsidRPr="00156547">
        <w:rPr>
          <w:rFonts w:ascii="Times New Roman" w:hAnsi="Times New Roman" w:cs="Times New Roman"/>
        </w:rPr>
        <w:t xml:space="preserve">. </w:t>
      </w:r>
      <w:r w:rsidRPr="00156547">
        <w:rPr>
          <w:rFonts w:ascii="Times New Roman" w:hAnsi="Times New Roman" w:cs="Times New Roman"/>
          <w:i/>
        </w:rPr>
        <w:t>Quels droits après l’Accord de Paris ?</w:t>
      </w:r>
      <w:r w:rsidRPr="00156547">
        <w:rPr>
          <w:rFonts w:ascii="Times New Roman" w:hAnsi="Times New Roman" w:cs="Times New Roman"/>
        </w:rPr>
        <w:t>, p. 105 et s.</w:t>
      </w:r>
    </w:p>
    <w:p w:rsidR="00156547" w:rsidRPr="00156547" w:rsidRDefault="00156547" w:rsidP="00156547">
      <w:pPr>
        <w:jc w:val="both"/>
        <w:rPr>
          <w:rFonts w:ascii="Times New Roman" w:hAnsi="Times New Roman" w:cs="Times New Roman"/>
        </w:rPr>
      </w:pPr>
      <w:r w:rsidRPr="00156547">
        <w:rPr>
          <w:rFonts w:ascii="Times New Roman" w:hAnsi="Times New Roman" w:cs="Times New Roman"/>
        </w:rPr>
        <w:t>M. – P. Blin-</w:t>
      </w:r>
      <w:proofErr w:type="spellStart"/>
      <w:r w:rsidRPr="00156547">
        <w:rPr>
          <w:rFonts w:ascii="Times New Roman" w:hAnsi="Times New Roman" w:cs="Times New Roman"/>
        </w:rPr>
        <w:t>Franchomme</w:t>
      </w:r>
      <w:proofErr w:type="spellEnd"/>
      <w:r w:rsidRPr="00156547">
        <w:rPr>
          <w:rFonts w:ascii="Times New Roman" w:hAnsi="Times New Roman" w:cs="Times New Roman"/>
        </w:rPr>
        <w:t xml:space="preserve">, M.-P. BLIN FRANCHOMME, « Entreprises, Quel rôle pour l’entreprise après l’Accord de Paris », </w:t>
      </w:r>
      <w:r w:rsidRPr="00156547">
        <w:rPr>
          <w:rFonts w:ascii="Times New Roman" w:hAnsi="Times New Roman" w:cs="Times New Roman"/>
          <w:i/>
        </w:rPr>
        <w:t xml:space="preserve">RJE </w:t>
      </w:r>
      <w:r w:rsidRPr="00156547">
        <w:rPr>
          <w:rFonts w:ascii="Times New Roman" w:hAnsi="Times New Roman" w:cs="Times New Roman"/>
        </w:rPr>
        <w:t xml:space="preserve">numéro spécial, </w:t>
      </w:r>
      <w:proofErr w:type="spellStart"/>
      <w:r w:rsidRPr="00156547">
        <w:rPr>
          <w:rFonts w:ascii="Times New Roman" w:hAnsi="Times New Roman" w:cs="Times New Roman"/>
        </w:rPr>
        <w:t>préc</w:t>
      </w:r>
      <w:proofErr w:type="spellEnd"/>
      <w:r w:rsidRPr="00156547">
        <w:rPr>
          <w:rFonts w:ascii="Times New Roman" w:hAnsi="Times New Roman" w:cs="Times New Roman"/>
        </w:rPr>
        <w:t>. p. 119 </w:t>
      </w:r>
    </w:p>
    <w:p w:rsidR="00156547" w:rsidRPr="00156547" w:rsidRDefault="00156547" w:rsidP="00156547">
      <w:pPr>
        <w:jc w:val="both"/>
        <w:rPr>
          <w:rFonts w:ascii="Times New Roman" w:hAnsi="Times New Roman" w:cs="Times New Roman"/>
        </w:rPr>
      </w:pPr>
      <w:r w:rsidRPr="00156547">
        <w:rPr>
          <w:rFonts w:ascii="Times New Roman" w:hAnsi="Times New Roman" w:cs="Times New Roman"/>
        </w:rPr>
        <w:t xml:space="preserve"> F.-G. TREBULLE, « Le rôle des acteurs privés, Bilan et perspectives de l’Accord de Paris », </w:t>
      </w:r>
      <w:proofErr w:type="spellStart"/>
      <w:r w:rsidRPr="00156547">
        <w:rPr>
          <w:rFonts w:ascii="Times New Roman" w:hAnsi="Times New Roman" w:cs="Times New Roman"/>
        </w:rPr>
        <w:t>dir</w:t>
      </w:r>
      <w:proofErr w:type="spellEnd"/>
      <w:r w:rsidRPr="00156547">
        <w:rPr>
          <w:rFonts w:ascii="Times New Roman" w:hAnsi="Times New Roman" w:cs="Times New Roman"/>
        </w:rPr>
        <w:t>. M. TORRE-SCHAUB, Coll. IRJS, 2017, p. 132 et s.</w:t>
      </w:r>
    </w:p>
    <w:p w:rsidR="00156547" w:rsidRDefault="00156547" w:rsidP="00156547">
      <w:pPr>
        <w:jc w:val="both"/>
        <w:rPr>
          <w:rFonts w:ascii="Times New Roman" w:hAnsi="Times New Roman" w:cs="Times New Roman"/>
        </w:rPr>
      </w:pPr>
      <w:r w:rsidRPr="00156547">
        <w:rPr>
          <w:rFonts w:ascii="Times New Roman" w:hAnsi="Times New Roman" w:cs="Times New Roman"/>
        </w:rPr>
        <w:t xml:space="preserve">C. </w:t>
      </w:r>
      <w:proofErr w:type="spellStart"/>
      <w:r w:rsidRPr="00156547">
        <w:rPr>
          <w:rFonts w:ascii="Times New Roman" w:hAnsi="Times New Roman" w:cs="Times New Roman"/>
        </w:rPr>
        <w:t>Cournil</w:t>
      </w:r>
      <w:proofErr w:type="spellEnd"/>
      <w:r w:rsidRPr="00156547">
        <w:rPr>
          <w:rFonts w:ascii="Times New Roman" w:hAnsi="Times New Roman" w:cs="Times New Roman"/>
        </w:rPr>
        <w:t xml:space="preserve">, « Les convergences des actions climatiques contre l’État. Étude comparée du contentieux national », </w:t>
      </w:r>
      <w:r w:rsidRPr="00156547">
        <w:rPr>
          <w:rFonts w:ascii="Times New Roman" w:hAnsi="Times New Roman" w:cs="Times New Roman"/>
          <w:i/>
        </w:rPr>
        <w:t>RJE</w:t>
      </w:r>
      <w:r w:rsidRPr="00156547">
        <w:rPr>
          <w:rFonts w:ascii="Times New Roman" w:hAnsi="Times New Roman" w:cs="Times New Roman"/>
        </w:rPr>
        <w:t xml:space="preserve"> 2017/4, n° spécial </w:t>
      </w:r>
      <w:r w:rsidRPr="00156547">
        <w:rPr>
          <w:rFonts w:ascii="Times New Roman" w:hAnsi="Times New Roman" w:cs="Times New Roman"/>
          <w:i/>
        </w:rPr>
        <w:t>Après l’Accord de Paris : Quels droits face au changement climatique</w:t>
      </w:r>
      <w:r w:rsidRPr="00156547">
        <w:rPr>
          <w:rFonts w:ascii="Times New Roman" w:hAnsi="Times New Roman" w:cs="Times New Roman"/>
        </w:rPr>
        <w:t xml:space="preserve"> (</w:t>
      </w:r>
      <w:proofErr w:type="spellStart"/>
      <w:r w:rsidRPr="00156547">
        <w:rPr>
          <w:rFonts w:ascii="Times New Roman" w:hAnsi="Times New Roman" w:cs="Times New Roman"/>
        </w:rPr>
        <w:t>dir</w:t>
      </w:r>
      <w:proofErr w:type="spellEnd"/>
      <w:r w:rsidRPr="00156547">
        <w:rPr>
          <w:rFonts w:ascii="Times New Roman" w:hAnsi="Times New Roman" w:cs="Times New Roman"/>
        </w:rPr>
        <w:t xml:space="preserve">. M. </w:t>
      </w:r>
      <w:r w:rsidRPr="00156547">
        <w:rPr>
          <w:rFonts w:ascii="Times New Roman" w:hAnsi="Times New Roman" w:cs="Times New Roman"/>
          <w:caps/>
        </w:rPr>
        <w:t>Hautereau-Boutonnet</w:t>
      </w:r>
      <w:r w:rsidRPr="00156547">
        <w:rPr>
          <w:rFonts w:ascii="Times New Roman" w:hAnsi="Times New Roman" w:cs="Times New Roman"/>
        </w:rPr>
        <w:t xml:space="preserve"> et S. </w:t>
      </w:r>
      <w:r w:rsidRPr="00156547">
        <w:rPr>
          <w:rFonts w:ascii="Times New Roman" w:hAnsi="Times New Roman" w:cs="Times New Roman"/>
          <w:caps/>
        </w:rPr>
        <w:t>Maljean-Dubois</w:t>
      </w:r>
      <w:r w:rsidRPr="00156547">
        <w:rPr>
          <w:rFonts w:ascii="Times New Roman" w:hAnsi="Times New Roman" w:cs="Times New Roman"/>
        </w:rPr>
        <w:t>) p. 245</w:t>
      </w:r>
      <w:r>
        <w:rPr>
          <w:rFonts w:ascii="Times New Roman" w:hAnsi="Times New Roman" w:cs="Times New Roman"/>
        </w:rPr>
        <w:t>.</w:t>
      </w:r>
    </w:p>
    <w:p w:rsidR="00156547" w:rsidRDefault="00156547" w:rsidP="00156547">
      <w:pPr>
        <w:jc w:val="both"/>
        <w:rPr>
          <w:rFonts w:ascii="Times New Roman" w:hAnsi="Times New Roman" w:cs="Times New Roman"/>
        </w:rPr>
      </w:pPr>
    </w:p>
    <w:p w:rsidR="00156547" w:rsidRPr="00ED2622" w:rsidRDefault="00156547" w:rsidP="00156547">
      <w:pPr>
        <w:jc w:val="both"/>
        <w:rPr>
          <w:rFonts w:ascii="Times New Roman" w:hAnsi="Times New Roman" w:cs="Times New Roman"/>
          <w:b/>
        </w:rPr>
      </w:pPr>
      <w:r w:rsidRPr="00ED2622">
        <w:rPr>
          <w:rFonts w:ascii="Times New Roman" w:hAnsi="Times New Roman" w:cs="Times New Roman"/>
          <w:b/>
        </w:rPr>
        <w:t>Chapitre 2 – Les transformations substantielles du droit de l’environnement</w:t>
      </w:r>
    </w:p>
    <w:p w:rsidR="00156547" w:rsidRDefault="00156547" w:rsidP="00156547">
      <w:pPr>
        <w:jc w:val="both"/>
        <w:rPr>
          <w:rFonts w:ascii="Times New Roman" w:hAnsi="Times New Roman" w:cs="Times New Roman"/>
        </w:rPr>
      </w:pPr>
    </w:p>
    <w:p w:rsidR="00156547" w:rsidRPr="00ED2622" w:rsidRDefault="00156547" w:rsidP="00156547">
      <w:pPr>
        <w:jc w:val="both"/>
        <w:rPr>
          <w:rFonts w:ascii="Times New Roman" w:hAnsi="Times New Roman" w:cs="Times New Roman"/>
          <w:b/>
        </w:rPr>
      </w:pPr>
      <w:r w:rsidRPr="00ED2622">
        <w:rPr>
          <w:rFonts w:ascii="Times New Roman" w:hAnsi="Times New Roman" w:cs="Times New Roman"/>
          <w:b/>
        </w:rPr>
        <w:t>Section 1 – La gestion du risque environnemental</w:t>
      </w:r>
    </w:p>
    <w:p w:rsidR="00156547" w:rsidRDefault="00156547" w:rsidP="00156547">
      <w:pPr>
        <w:jc w:val="both"/>
        <w:rPr>
          <w:rFonts w:ascii="Times New Roman" w:hAnsi="Times New Roman" w:cs="Times New Roman"/>
        </w:rPr>
      </w:pPr>
    </w:p>
    <w:p w:rsidR="00156547" w:rsidRDefault="00156547" w:rsidP="00156547">
      <w:pPr>
        <w:jc w:val="both"/>
        <w:rPr>
          <w:rFonts w:ascii="Times New Roman" w:hAnsi="Times New Roman" w:cs="Times New Roman"/>
        </w:rPr>
      </w:pPr>
      <w:r>
        <w:rPr>
          <w:rFonts w:ascii="Times New Roman" w:hAnsi="Times New Roman" w:cs="Times New Roman"/>
        </w:rPr>
        <w:t>I – Dans l’intérêt général</w:t>
      </w:r>
    </w:p>
    <w:p w:rsidR="00156547" w:rsidRDefault="00156547" w:rsidP="00156547">
      <w:pPr>
        <w:pStyle w:val="Paragraphedeliste"/>
        <w:numPr>
          <w:ilvl w:val="0"/>
          <w:numId w:val="7"/>
        </w:numPr>
        <w:jc w:val="both"/>
        <w:rPr>
          <w:rFonts w:ascii="Times New Roman" w:hAnsi="Times New Roman" w:cs="Times New Roman"/>
        </w:rPr>
      </w:pPr>
      <w:r>
        <w:rPr>
          <w:rFonts w:ascii="Times New Roman" w:hAnsi="Times New Roman" w:cs="Times New Roman"/>
        </w:rPr>
        <w:t>La police administrative</w:t>
      </w:r>
    </w:p>
    <w:p w:rsidR="00156547" w:rsidRDefault="00156547" w:rsidP="00156547">
      <w:pPr>
        <w:pStyle w:val="Paragraphedeliste"/>
        <w:numPr>
          <w:ilvl w:val="0"/>
          <w:numId w:val="7"/>
        </w:numPr>
        <w:jc w:val="both"/>
        <w:rPr>
          <w:rFonts w:ascii="Times New Roman" w:hAnsi="Times New Roman" w:cs="Times New Roman"/>
        </w:rPr>
      </w:pPr>
      <w:r>
        <w:rPr>
          <w:rFonts w:ascii="Times New Roman" w:hAnsi="Times New Roman" w:cs="Times New Roman"/>
        </w:rPr>
        <w:t>L</w:t>
      </w:r>
      <w:r w:rsidR="00ED2622">
        <w:rPr>
          <w:rFonts w:ascii="Times New Roman" w:hAnsi="Times New Roman" w:cs="Times New Roman"/>
        </w:rPr>
        <w:t>es autres règlementations</w:t>
      </w:r>
    </w:p>
    <w:p w:rsidR="00ED2622" w:rsidRDefault="00ED2622" w:rsidP="00ED2622">
      <w:pPr>
        <w:jc w:val="both"/>
        <w:rPr>
          <w:rFonts w:ascii="Times New Roman" w:hAnsi="Times New Roman" w:cs="Times New Roman"/>
        </w:rPr>
      </w:pPr>
      <w:r>
        <w:rPr>
          <w:rFonts w:ascii="Times New Roman" w:hAnsi="Times New Roman" w:cs="Times New Roman"/>
        </w:rPr>
        <w:t>II – Dans l’intérêt particulier</w:t>
      </w:r>
    </w:p>
    <w:p w:rsidR="00ED2622" w:rsidRDefault="00ED2622" w:rsidP="00ED2622">
      <w:pPr>
        <w:pStyle w:val="Paragraphedeliste"/>
        <w:numPr>
          <w:ilvl w:val="0"/>
          <w:numId w:val="9"/>
        </w:numPr>
        <w:jc w:val="both"/>
        <w:rPr>
          <w:rFonts w:ascii="Times New Roman" w:hAnsi="Times New Roman" w:cs="Times New Roman"/>
        </w:rPr>
      </w:pPr>
      <w:r>
        <w:rPr>
          <w:rFonts w:ascii="Times New Roman" w:hAnsi="Times New Roman" w:cs="Times New Roman"/>
        </w:rPr>
        <w:t>Les dispositifs d’information</w:t>
      </w:r>
    </w:p>
    <w:p w:rsidR="00ED2622" w:rsidRDefault="00ED2622" w:rsidP="00ED2622">
      <w:pPr>
        <w:pStyle w:val="Paragraphedeliste"/>
        <w:numPr>
          <w:ilvl w:val="0"/>
          <w:numId w:val="9"/>
        </w:numPr>
        <w:jc w:val="both"/>
        <w:rPr>
          <w:rFonts w:ascii="Times New Roman" w:hAnsi="Times New Roman" w:cs="Times New Roman"/>
        </w:rPr>
      </w:pPr>
      <w:r>
        <w:rPr>
          <w:rFonts w:ascii="Times New Roman" w:hAnsi="Times New Roman" w:cs="Times New Roman"/>
        </w:rPr>
        <w:t>Les dispositifs de protection</w:t>
      </w:r>
    </w:p>
    <w:p w:rsidR="00ED2622" w:rsidRDefault="00ED2622" w:rsidP="00ED2622">
      <w:pPr>
        <w:jc w:val="both"/>
        <w:rPr>
          <w:rFonts w:ascii="Times New Roman" w:hAnsi="Times New Roman" w:cs="Times New Roman"/>
        </w:rPr>
      </w:pPr>
    </w:p>
    <w:p w:rsidR="00ED2622" w:rsidRDefault="00ED2622" w:rsidP="00ED2622">
      <w:pPr>
        <w:jc w:val="both"/>
        <w:rPr>
          <w:rFonts w:ascii="Times New Roman" w:hAnsi="Times New Roman" w:cs="Times New Roman"/>
        </w:rPr>
      </w:pPr>
      <w:r>
        <w:rPr>
          <w:rFonts w:ascii="Times New Roman" w:hAnsi="Times New Roman" w:cs="Times New Roman"/>
        </w:rPr>
        <w:t xml:space="preserve">V. </w:t>
      </w:r>
    </w:p>
    <w:p w:rsidR="00ED2622" w:rsidRDefault="00ED2622" w:rsidP="00ED2622">
      <w:pPr>
        <w:jc w:val="both"/>
        <w:rPr>
          <w:rFonts w:ascii="Times New Roman" w:hAnsi="Times New Roman" w:cs="Times New Roman"/>
        </w:rPr>
      </w:pPr>
      <w:r>
        <w:rPr>
          <w:rFonts w:ascii="Times New Roman" w:hAnsi="Times New Roman" w:cs="Times New Roman"/>
        </w:rPr>
        <w:t xml:space="preserve">- M. </w:t>
      </w:r>
      <w:proofErr w:type="spellStart"/>
      <w:r>
        <w:rPr>
          <w:rFonts w:ascii="Times New Roman" w:hAnsi="Times New Roman" w:cs="Times New Roman"/>
        </w:rPr>
        <w:t>Hautereau-Boutonnet</w:t>
      </w:r>
      <w:proofErr w:type="spellEnd"/>
      <w:r>
        <w:rPr>
          <w:rFonts w:ascii="Times New Roman" w:hAnsi="Times New Roman" w:cs="Times New Roman"/>
        </w:rPr>
        <w:t xml:space="preserve"> et M. </w:t>
      </w:r>
      <w:proofErr w:type="spellStart"/>
      <w:r>
        <w:rPr>
          <w:rFonts w:ascii="Times New Roman" w:hAnsi="Times New Roman" w:cs="Times New Roman"/>
        </w:rPr>
        <w:t>Mekki</w:t>
      </w:r>
      <w:proofErr w:type="spellEnd"/>
      <w:r>
        <w:rPr>
          <w:rFonts w:ascii="Times New Roman" w:hAnsi="Times New Roman" w:cs="Times New Roman"/>
        </w:rPr>
        <w:t xml:space="preserve">, </w:t>
      </w:r>
      <w:r w:rsidR="00C856F3">
        <w:rPr>
          <w:rFonts w:ascii="Times New Roman" w:hAnsi="Times New Roman" w:cs="Times New Roman"/>
        </w:rPr>
        <w:t>« </w:t>
      </w:r>
      <w:r w:rsidR="002C4070">
        <w:rPr>
          <w:rFonts w:ascii="Times New Roman" w:hAnsi="Times New Roman" w:cs="Times New Roman"/>
        </w:rPr>
        <w:t xml:space="preserve">Environnement et conservation </w:t>
      </w:r>
      <w:proofErr w:type="spellStart"/>
      <w:r w:rsidR="002C4070">
        <w:rPr>
          <w:rFonts w:ascii="Times New Roman" w:hAnsi="Times New Roman" w:cs="Times New Roman"/>
        </w:rPr>
        <w:t>easements</w:t>
      </w:r>
      <w:proofErr w:type="spellEnd"/>
      <w:r w:rsidR="00C856F3">
        <w:rPr>
          <w:rFonts w:ascii="Times New Roman" w:hAnsi="Times New Roman" w:cs="Times New Roman"/>
        </w:rPr>
        <w:t> »</w:t>
      </w:r>
      <w:r w:rsidR="002C4070">
        <w:rPr>
          <w:rFonts w:ascii="Times New Roman" w:hAnsi="Times New Roman" w:cs="Times New Roman"/>
        </w:rPr>
        <w:t>, JCP G 2012.1023</w:t>
      </w:r>
    </w:p>
    <w:p w:rsidR="00ED2622" w:rsidRDefault="00ED2622" w:rsidP="00ED2622">
      <w:pPr>
        <w:jc w:val="both"/>
        <w:rPr>
          <w:rFonts w:ascii="Times New Roman" w:hAnsi="Times New Roman" w:cs="Times New Roman"/>
        </w:rPr>
      </w:pPr>
      <w:r>
        <w:rPr>
          <w:rFonts w:ascii="Times New Roman" w:hAnsi="Times New Roman" w:cs="Times New Roman"/>
        </w:rPr>
        <w:t xml:space="preserve">- F. Girard, </w:t>
      </w:r>
      <w:r w:rsidR="00C856F3">
        <w:rPr>
          <w:rFonts w:ascii="Times New Roman" w:hAnsi="Times New Roman" w:cs="Times New Roman"/>
        </w:rPr>
        <w:t>« </w:t>
      </w:r>
      <w:r>
        <w:rPr>
          <w:rFonts w:ascii="Times New Roman" w:hAnsi="Times New Roman" w:cs="Times New Roman"/>
        </w:rPr>
        <w:t>La propriété inclusive au service des biens environnementaux</w:t>
      </w:r>
      <w:r w:rsidR="00C856F3">
        <w:rPr>
          <w:rFonts w:ascii="Times New Roman" w:hAnsi="Times New Roman" w:cs="Times New Roman"/>
        </w:rPr>
        <w:t> »</w:t>
      </w:r>
      <w:r>
        <w:rPr>
          <w:rFonts w:ascii="Times New Roman" w:hAnsi="Times New Roman" w:cs="Times New Roman"/>
        </w:rPr>
        <w:t xml:space="preserve">, Cahiers Droit Sciences et Technologies, 2016/16, p. 185 : </w:t>
      </w:r>
      <w:r w:rsidRPr="00ED2622">
        <w:rPr>
          <w:rFonts w:ascii="Times New Roman" w:hAnsi="Times New Roman" w:cs="Times New Roman"/>
        </w:rPr>
        <w:t>https://journals.openedition.org/cdst/505</w:t>
      </w:r>
    </w:p>
    <w:p w:rsidR="00ED2622" w:rsidRDefault="00ED2622" w:rsidP="00ED2622">
      <w:pPr>
        <w:jc w:val="both"/>
        <w:rPr>
          <w:rFonts w:ascii="Times New Roman" w:hAnsi="Times New Roman" w:cs="Times New Roman"/>
        </w:rPr>
      </w:pPr>
      <w:r>
        <w:rPr>
          <w:rFonts w:ascii="Times New Roman" w:hAnsi="Times New Roman" w:cs="Times New Roman"/>
        </w:rPr>
        <w:t xml:space="preserve">- B. </w:t>
      </w:r>
      <w:proofErr w:type="spellStart"/>
      <w:r>
        <w:rPr>
          <w:rFonts w:ascii="Times New Roman" w:hAnsi="Times New Roman" w:cs="Times New Roman"/>
        </w:rPr>
        <w:t>Grimonprez</w:t>
      </w:r>
      <w:proofErr w:type="spellEnd"/>
      <w:r>
        <w:rPr>
          <w:rFonts w:ascii="Times New Roman" w:hAnsi="Times New Roman" w:cs="Times New Roman"/>
        </w:rPr>
        <w:t xml:space="preserve">, « La fonction environnementale de la propriété », RTD civ. 2016, </w:t>
      </w:r>
      <w:hyperlink r:id="rId7" w:history="1">
        <w:r w:rsidR="002C4070" w:rsidRPr="00991062">
          <w:rPr>
            <w:rStyle w:val="Lienhypertexte"/>
            <w:rFonts w:ascii="Times New Roman" w:hAnsi="Times New Roman" w:cs="Times New Roman"/>
          </w:rPr>
          <w:t>https://hal.archives-ouvertes.fr/hal-01574823/document</w:t>
        </w:r>
      </w:hyperlink>
    </w:p>
    <w:p w:rsidR="002C4070" w:rsidRDefault="002C4070" w:rsidP="00ED2622">
      <w:pPr>
        <w:jc w:val="both"/>
        <w:rPr>
          <w:rFonts w:ascii="Times New Roman" w:hAnsi="Times New Roman" w:cs="Times New Roman"/>
        </w:rPr>
      </w:pPr>
      <w:r>
        <w:rPr>
          <w:rFonts w:ascii="Times New Roman" w:hAnsi="Times New Roman" w:cs="Times New Roman"/>
        </w:rPr>
        <w:t xml:space="preserve">- N. </w:t>
      </w:r>
      <w:proofErr w:type="spellStart"/>
      <w:r>
        <w:rPr>
          <w:rFonts w:ascii="Times New Roman" w:hAnsi="Times New Roman" w:cs="Times New Roman"/>
        </w:rPr>
        <w:t>Reboul-Maupin</w:t>
      </w:r>
      <w:proofErr w:type="spellEnd"/>
      <w:r>
        <w:rPr>
          <w:rFonts w:ascii="Times New Roman" w:hAnsi="Times New Roman" w:cs="Times New Roman"/>
        </w:rPr>
        <w:t xml:space="preserve"> et B. </w:t>
      </w:r>
      <w:proofErr w:type="spellStart"/>
      <w:r>
        <w:rPr>
          <w:rFonts w:ascii="Times New Roman" w:hAnsi="Times New Roman" w:cs="Times New Roman"/>
        </w:rPr>
        <w:t>Grimonprez</w:t>
      </w:r>
      <w:proofErr w:type="spellEnd"/>
      <w:r>
        <w:rPr>
          <w:rFonts w:ascii="Times New Roman" w:hAnsi="Times New Roman" w:cs="Times New Roman"/>
        </w:rPr>
        <w:t xml:space="preserve">, « Les obligations réelles environnementales, chronique d’une naissance annoncée », D. 2016. </w:t>
      </w:r>
      <w:proofErr w:type="gramStart"/>
      <w:r>
        <w:rPr>
          <w:rFonts w:ascii="Times New Roman" w:hAnsi="Times New Roman" w:cs="Times New Roman"/>
        </w:rPr>
        <w:t>2074  :</w:t>
      </w:r>
      <w:proofErr w:type="gramEnd"/>
      <w:r>
        <w:rPr>
          <w:rFonts w:ascii="Times New Roman" w:hAnsi="Times New Roman" w:cs="Times New Roman"/>
        </w:rPr>
        <w:t xml:space="preserve"> </w:t>
      </w:r>
      <w:hyperlink r:id="rId8" w:history="1">
        <w:r w:rsidRPr="00991062">
          <w:rPr>
            <w:rStyle w:val="Lienhypertexte"/>
            <w:rFonts w:ascii="Times New Roman" w:hAnsi="Times New Roman" w:cs="Times New Roman"/>
          </w:rPr>
          <w:t>https://hal.archives-ouvertes.fr/hal-01550578/document</w:t>
        </w:r>
      </w:hyperlink>
    </w:p>
    <w:p w:rsidR="002C4070" w:rsidRDefault="002C4070" w:rsidP="00ED2622">
      <w:pPr>
        <w:jc w:val="both"/>
        <w:rPr>
          <w:rFonts w:ascii="Times New Roman" w:hAnsi="Times New Roman" w:cs="Times New Roman"/>
        </w:rPr>
      </w:pPr>
      <w:r>
        <w:rPr>
          <w:rFonts w:ascii="Times New Roman" w:hAnsi="Times New Roman" w:cs="Times New Roman"/>
        </w:rPr>
        <w:t xml:space="preserve">- M. Lucas, </w:t>
      </w:r>
      <w:r w:rsidR="00C856F3">
        <w:rPr>
          <w:rFonts w:ascii="Times New Roman" w:hAnsi="Times New Roman" w:cs="Times New Roman"/>
        </w:rPr>
        <w:t>« </w:t>
      </w:r>
      <w:r>
        <w:rPr>
          <w:rFonts w:ascii="Times New Roman" w:hAnsi="Times New Roman" w:cs="Times New Roman"/>
        </w:rPr>
        <w:t>Le contrat au service de la compensation écologique</w:t>
      </w:r>
      <w:r w:rsidR="00C856F3">
        <w:rPr>
          <w:rFonts w:ascii="Times New Roman" w:hAnsi="Times New Roman" w:cs="Times New Roman"/>
        </w:rPr>
        <w:t> »</w:t>
      </w:r>
      <w:r>
        <w:rPr>
          <w:rFonts w:ascii="Times New Roman" w:hAnsi="Times New Roman" w:cs="Times New Roman"/>
        </w:rPr>
        <w:t>, Revue Énergie Environnement Infrastructures, Juin 2017/Dossier 11</w:t>
      </w:r>
    </w:p>
    <w:p w:rsidR="002C4070" w:rsidRDefault="002C4070" w:rsidP="00ED2622">
      <w:pPr>
        <w:jc w:val="both"/>
        <w:rPr>
          <w:rFonts w:ascii="Times New Roman" w:hAnsi="Times New Roman" w:cs="Times New Roman"/>
        </w:rPr>
      </w:pPr>
      <w:r>
        <w:rPr>
          <w:rFonts w:ascii="Times New Roman" w:hAnsi="Times New Roman" w:cs="Times New Roman"/>
        </w:rPr>
        <w:t xml:space="preserve">- Ch. Le Guyader et M.L. </w:t>
      </w:r>
      <w:proofErr w:type="spellStart"/>
      <w:r>
        <w:rPr>
          <w:rFonts w:ascii="Times New Roman" w:hAnsi="Times New Roman" w:cs="Times New Roman"/>
        </w:rPr>
        <w:t>Treffot</w:t>
      </w:r>
      <w:proofErr w:type="spellEnd"/>
      <w:r>
        <w:rPr>
          <w:rFonts w:ascii="Times New Roman" w:hAnsi="Times New Roman" w:cs="Times New Roman"/>
        </w:rPr>
        <w:t>, « Des différentes compensations aux milieux naturels : la compensation écologique », JCP N, 2018.1172</w:t>
      </w:r>
    </w:p>
    <w:p w:rsidR="002C4070" w:rsidRDefault="002C4070" w:rsidP="00ED2622">
      <w:pPr>
        <w:jc w:val="both"/>
        <w:rPr>
          <w:rFonts w:ascii="Times New Roman" w:hAnsi="Times New Roman" w:cs="Times New Roman"/>
        </w:rPr>
      </w:pPr>
    </w:p>
    <w:p w:rsidR="002C4070" w:rsidRPr="00C4667A" w:rsidRDefault="002C4070" w:rsidP="00ED2622">
      <w:pPr>
        <w:jc w:val="both"/>
        <w:rPr>
          <w:rFonts w:ascii="Times New Roman" w:hAnsi="Times New Roman" w:cs="Times New Roman"/>
          <w:b/>
        </w:rPr>
      </w:pPr>
      <w:r w:rsidRPr="00C4667A">
        <w:rPr>
          <w:rFonts w:ascii="Times New Roman" w:hAnsi="Times New Roman" w:cs="Times New Roman"/>
          <w:b/>
        </w:rPr>
        <w:t>Section 2 – La réparation des atteintes à l’environnement</w:t>
      </w:r>
    </w:p>
    <w:p w:rsidR="00C4667A" w:rsidRPr="00C4667A" w:rsidRDefault="002C4070" w:rsidP="00C4667A">
      <w:pPr>
        <w:jc w:val="both"/>
        <w:rPr>
          <w:rFonts w:ascii="Times New Roman" w:hAnsi="Times New Roman" w:cs="Times New Roman"/>
          <w:b/>
        </w:rPr>
      </w:pPr>
      <w:r w:rsidRPr="00C4667A">
        <w:rPr>
          <w:rFonts w:ascii="Times New Roman" w:hAnsi="Times New Roman" w:cs="Times New Roman"/>
          <w:b/>
        </w:rPr>
        <w:t>I – La réparation</w:t>
      </w:r>
      <w:r w:rsidR="00C4667A" w:rsidRPr="00C4667A">
        <w:rPr>
          <w:rFonts w:ascii="Times New Roman" w:hAnsi="Times New Roman" w:cs="Times New Roman"/>
          <w:b/>
        </w:rPr>
        <w:t xml:space="preserve"> dans un contexte national</w:t>
      </w:r>
    </w:p>
    <w:p w:rsidR="00C4667A" w:rsidRDefault="00C4667A" w:rsidP="00C4667A">
      <w:pPr>
        <w:pStyle w:val="Paragraphedeliste"/>
        <w:numPr>
          <w:ilvl w:val="0"/>
          <w:numId w:val="8"/>
        </w:numPr>
        <w:jc w:val="both"/>
        <w:rPr>
          <w:rFonts w:ascii="Times New Roman" w:hAnsi="Times New Roman" w:cs="Times New Roman"/>
        </w:rPr>
      </w:pPr>
      <w:r>
        <w:rPr>
          <w:rFonts w:ascii="Times New Roman" w:hAnsi="Times New Roman" w:cs="Times New Roman"/>
        </w:rPr>
        <w:t>Le droit pénal</w:t>
      </w:r>
    </w:p>
    <w:p w:rsidR="00C4667A" w:rsidRDefault="00C4667A" w:rsidP="00C4667A">
      <w:pPr>
        <w:pStyle w:val="Paragraphedeliste"/>
        <w:numPr>
          <w:ilvl w:val="0"/>
          <w:numId w:val="8"/>
        </w:numPr>
        <w:jc w:val="both"/>
        <w:rPr>
          <w:rFonts w:ascii="Times New Roman" w:hAnsi="Times New Roman" w:cs="Times New Roman"/>
        </w:rPr>
      </w:pPr>
      <w:r>
        <w:rPr>
          <w:rFonts w:ascii="Times New Roman" w:hAnsi="Times New Roman" w:cs="Times New Roman"/>
        </w:rPr>
        <w:t>Le droit administratif</w:t>
      </w:r>
    </w:p>
    <w:p w:rsidR="00C4667A" w:rsidRDefault="00C4667A" w:rsidP="00C4667A">
      <w:pPr>
        <w:pStyle w:val="Paragraphedeliste"/>
        <w:numPr>
          <w:ilvl w:val="0"/>
          <w:numId w:val="8"/>
        </w:numPr>
        <w:jc w:val="both"/>
        <w:rPr>
          <w:rFonts w:ascii="Times New Roman" w:hAnsi="Times New Roman" w:cs="Times New Roman"/>
        </w:rPr>
      </w:pPr>
      <w:r>
        <w:rPr>
          <w:rFonts w:ascii="Times New Roman" w:hAnsi="Times New Roman" w:cs="Times New Roman"/>
        </w:rPr>
        <w:t>Le droit civil</w:t>
      </w:r>
    </w:p>
    <w:p w:rsidR="00C4667A" w:rsidRDefault="00C4667A" w:rsidP="00C4667A">
      <w:pPr>
        <w:pStyle w:val="Paragraphedeliste"/>
        <w:numPr>
          <w:ilvl w:val="0"/>
          <w:numId w:val="8"/>
        </w:numPr>
        <w:jc w:val="both"/>
        <w:rPr>
          <w:rFonts w:ascii="Times New Roman" w:hAnsi="Times New Roman" w:cs="Times New Roman"/>
        </w:rPr>
      </w:pPr>
      <w:r>
        <w:rPr>
          <w:rFonts w:ascii="Times New Roman" w:hAnsi="Times New Roman" w:cs="Times New Roman"/>
        </w:rPr>
        <w:t>La complémentarité</w:t>
      </w:r>
    </w:p>
    <w:p w:rsidR="00B90620" w:rsidRDefault="00C4667A" w:rsidP="00ED2622">
      <w:pPr>
        <w:jc w:val="both"/>
        <w:rPr>
          <w:rFonts w:ascii="Times New Roman" w:hAnsi="Times New Roman" w:cs="Times New Roman"/>
          <w:b/>
        </w:rPr>
      </w:pPr>
      <w:r w:rsidRPr="00C4667A">
        <w:rPr>
          <w:rFonts w:ascii="Times New Roman" w:hAnsi="Times New Roman" w:cs="Times New Roman"/>
          <w:b/>
        </w:rPr>
        <w:t>II – Le contexte transnational</w:t>
      </w:r>
    </w:p>
    <w:p w:rsidR="00C4667A" w:rsidRDefault="00C856F3" w:rsidP="00ED2622">
      <w:pPr>
        <w:jc w:val="both"/>
        <w:rPr>
          <w:rFonts w:ascii="Times New Roman" w:hAnsi="Times New Roman" w:cs="Times New Roman"/>
        </w:rPr>
      </w:pPr>
      <w:r>
        <w:rPr>
          <w:rFonts w:ascii="Times New Roman" w:hAnsi="Times New Roman" w:cs="Times New Roman"/>
        </w:rPr>
        <w:t xml:space="preserve">- </w:t>
      </w:r>
      <w:r w:rsidR="00B90620">
        <w:rPr>
          <w:rFonts w:ascii="Times New Roman" w:hAnsi="Times New Roman" w:cs="Times New Roman"/>
        </w:rPr>
        <w:t>La responsabilité des entreprises transnationales en droit français</w:t>
      </w:r>
    </w:p>
    <w:p w:rsidR="00B90620" w:rsidRPr="00B90620" w:rsidRDefault="00B90620" w:rsidP="00ED2622">
      <w:pPr>
        <w:jc w:val="both"/>
        <w:rPr>
          <w:rFonts w:ascii="Times New Roman" w:hAnsi="Times New Roman" w:cs="Times New Roman"/>
          <w:b/>
        </w:rPr>
      </w:pPr>
      <w:r>
        <w:rPr>
          <w:rFonts w:ascii="Times New Roman" w:hAnsi="Times New Roman" w:cs="Times New Roman"/>
        </w:rPr>
        <w:t>- Les cas d’étude</w:t>
      </w:r>
    </w:p>
    <w:p w:rsidR="00B90620" w:rsidRDefault="00B90620" w:rsidP="00ED2622">
      <w:pPr>
        <w:jc w:val="both"/>
        <w:rPr>
          <w:rFonts w:ascii="Times New Roman" w:hAnsi="Times New Roman" w:cs="Times New Roman"/>
        </w:rPr>
      </w:pPr>
    </w:p>
    <w:p w:rsidR="00C4667A" w:rsidRDefault="00C4667A" w:rsidP="00ED2622">
      <w:pPr>
        <w:jc w:val="both"/>
        <w:rPr>
          <w:rFonts w:ascii="Times New Roman" w:hAnsi="Times New Roman" w:cs="Times New Roman"/>
        </w:rPr>
      </w:pPr>
      <w:r>
        <w:rPr>
          <w:rFonts w:ascii="Times New Roman" w:hAnsi="Times New Roman" w:cs="Times New Roman"/>
        </w:rPr>
        <w:t>V.</w:t>
      </w:r>
    </w:p>
    <w:p w:rsidR="00C4667A" w:rsidRDefault="00C4667A" w:rsidP="00ED2622">
      <w:pPr>
        <w:jc w:val="both"/>
        <w:rPr>
          <w:rFonts w:ascii="Times New Roman" w:hAnsi="Times New Roman" w:cs="Times New Roman"/>
        </w:rPr>
      </w:pPr>
      <w:r>
        <w:rPr>
          <w:rFonts w:ascii="Times New Roman" w:hAnsi="Times New Roman" w:cs="Times New Roman"/>
        </w:rPr>
        <w:t xml:space="preserve">- F. Rousseau, </w:t>
      </w:r>
      <w:r w:rsidR="00C856F3">
        <w:rPr>
          <w:rFonts w:ascii="Times New Roman" w:hAnsi="Times New Roman" w:cs="Times New Roman"/>
        </w:rPr>
        <w:t>« </w:t>
      </w:r>
      <w:r>
        <w:rPr>
          <w:rFonts w:ascii="Times New Roman" w:hAnsi="Times New Roman" w:cs="Times New Roman"/>
        </w:rPr>
        <w:t>Technique et éthique du droit pénal français de l’environnement</w:t>
      </w:r>
      <w:r w:rsidR="00C856F3">
        <w:rPr>
          <w:rFonts w:ascii="Times New Roman" w:hAnsi="Times New Roman" w:cs="Times New Roman"/>
        </w:rPr>
        <w:t> »</w:t>
      </w:r>
      <w:r>
        <w:rPr>
          <w:rFonts w:ascii="Times New Roman" w:hAnsi="Times New Roman" w:cs="Times New Roman"/>
        </w:rPr>
        <w:t>, EEI 2017/3, Étude 10</w:t>
      </w:r>
    </w:p>
    <w:p w:rsidR="00C4667A" w:rsidRDefault="00C4667A" w:rsidP="00ED2622">
      <w:pPr>
        <w:jc w:val="both"/>
        <w:rPr>
          <w:rFonts w:ascii="Times New Roman" w:hAnsi="Times New Roman" w:cs="Times New Roman"/>
        </w:rPr>
      </w:pPr>
      <w:r>
        <w:rPr>
          <w:rFonts w:ascii="Times New Roman" w:hAnsi="Times New Roman" w:cs="Times New Roman"/>
        </w:rPr>
        <w:t>- Numéro spécial sur le droit pénal de l’environnement, Revue EEI 2017/12</w:t>
      </w:r>
    </w:p>
    <w:p w:rsidR="00C4667A" w:rsidRDefault="00C4667A" w:rsidP="00ED2622">
      <w:pPr>
        <w:jc w:val="both"/>
        <w:rPr>
          <w:rFonts w:ascii="Times New Roman" w:hAnsi="Times New Roman" w:cs="Times New Roman"/>
        </w:rPr>
      </w:pPr>
      <w:r>
        <w:rPr>
          <w:rFonts w:ascii="Times New Roman" w:hAnsi="Times New Roman" w:cs="Times New Roman"/>
        </w:rPr>
        <w:t xml:space="preserve">- M. </w:t>
      </w:r>
      <w:proofErr w:type="spellStart"/>
      <w:r>
        <w:rPr>
          <w:rFonts w:ascii="Times New Roman" w:hAnsi="Times New Roman" w:cs="Times New Roman"/>
        </w:rPr>
        <w:t>Hautereau-Boutonnet</w:t>
      </w:r>
      <w:proofErr w:type="spellEnd"/>
      <w:r>
        <w:rPr>
          <w:rFonts w:ascii="Times New Roman" w:hAnsi="Times New Roman" w:cs="Times New Roman"/>
        </w:rPr>
        <w:t>, « Quelle action en responsabilité civile pour la réparation du préjudice écologique ? », EEI 2017/6, dossier 14</w:t>
      </w:r>
    </w:p>
    <w:p w:rsidR="00C4667A" w:rsidRDefault="00C4667A" w:rsidP="00ED2622">
      <w:pPr>
        <w:jc w:val="both"/>
        <w:rPr>
          <w:rFonts w:ascii="Times New Roman" w:hAnsi="Times New Roman" w:cs="Times New Roman"/>
        </w:rPr>
      </w:pPr>
      <w:r>
        <w:rPr>
          <w:rFonts w:ascii="Times New Roman" w:hAnsi="Times New Roman" w:cs="Times New Roman"/>
        </w:rPr>
        <w:t xml:space="preserve">- O. </w:t>
      </w:r>
      <w:proofErr w:type="spellStart"/>
      <w:r>
        <w:rPr>
          <w:rFonts w:ascii="Times New Roman" w:hAnsi="Times New Roman" w:cs="Times New Roman"/>
        </w:rPr>
        <w:t>Boskovic</w:t>
      </w:r>
      <w:proofErr w:type="spellEnd"/>
      <w:r>
        <w:rPr>
          <w:rFonts w:ascii="Times New Roman" w:hAnsi="Times New Roman" w:cs="Times New Roman"/>
        </w:rPr>
        <w:t>, « La compétence des juridictions des pays sources pour connaître des actions intentées à l’encontre des entreprises multinationales », D. 2018.732</w:t>
      </w:r>
    </w:p>
    <w:p w:rsidR="00C4667A" w:rsidRPr="00ED2622" w:rsidRDefault="00C4667A" w:rsidP="00ED2622">
      <w:pPr>
        <w:jc w:val="both"/>
        <w:rPr>
          <w:rFonts w:ascii="Times New Roman" w:hAnsi="Times New Roman" w:cs="Times New Roman"/>
        </w:rPr>
      </w:pPr>
      <w:r>
        <w:rPr>
          <w:rFonts w:ascii="Times New Roman" w:hAnsi="Times New Roman" w:cs="Times New Roman"/>
        </w:rPr>
        <w:t>- C. Drouin, « Le développement du contentieux à l’encontre des entreprises multinationales : quel rôle pour le devoir de vigilance ? », Droit social 2016.246</w:t>
      </w:r>
    </w:p>
    <w:sectPr w:rsidR="00C4667A" w:rsidRPr="00ED2622" w:rsidSect="006D457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8364D"/>
    <w:multiLevelType w:val="hybridMultilevel"/>
    <w:tmpl w:val="701EAE6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9AF4E7F"/>
    <w:multiLevelType w:val="hybridMultilevel"/>
    <w:tmpl w:val="D77C44AC"/>
    <w:lvl w:ilvl="0" w:tplc="855C8766">
      <w:start w:val="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3A90827"/>
    <w:multiLevelType w:val="hybridMultilevel"/>
    <w:tmpl w:val="51C8D5C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05E1C07"/>
    <w:multiLevelType w:val="hybridMultilevel"/>
    <w:tmpl w:val="09124EF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0BF12C8"/>
    <w:multiLevelType w:val="hybridMultilevel"/>
    <w:tmpl w:val="07E8B11A"/>
    <w:lvl w:ilvl="0" w:tplc="1EF4D3C0">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46654F4E"/>
    <w:multiLevelType w:val="hybridMultilevel"/>
    <w:tmpl w:val="06A67272"/>
    <w:lvl w:ilvl="0" w:tplc="01C683EA">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AE95BEB"/>
    <w:multiLevelType w:val="hybridMultilevel"/>
    <w:tmpl w:val="CD9A3B98"/>
    <w:lvl w:ilvl="0" w:tplc="E708A04A">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C251B21"/>
    <w:multiLevelType w:val="hybridMultilevel"/>
    <w:tmpl w:val="B5A62DC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F735A50"/>
    <w:multiLevelType w:val="hybridMultilevel"/>
    <w:tmpl w:val="7AA221F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59F2EAC"/>
    <w:multiLevelType w:val="hybridMultilevel"/>
    <w:tmpl w:val="13A89B5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1"/>
  </w:num>
  <w:num w:numId="5">
    <w:abstractNumId w:val="3"/>
  </w:num>
  <w:num w:numId="6">
    <w:abstractNumId w:val="8"/>
  </w:num>
  <w:num w:numId="7">
    <w:abstractNumId w:val="7"/>
  </w:num>
  <w:num w:numId="8">
    <w:abstractNumId w:val="6"/>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38A"/>
    <w:rsid w:val="000332CD"/>
    <w:rsid w:val="000B1577"/>
    <w:rsid w:val="00156547"/>
    <w:rsid w:val="00160878"/>
    <w:rsid w:val="00221DF9"/>
    <w:rsid w:val="002B438A"/>
    <w:rsid w:val="002C4070"/>
    <w:rsid w:val="003E32AE"/>
    <w:rsid w:val="0057091A"/>
    <w:rsid w:val="005F74AB"/>
    <w:rsid w:val="006D4573"/>
    <w:rsid w:val="007B351E"/>
    <w:rsid w:val="009129A5"/>
    <w:rsid w:val="009157D7"/>
    <w:rsid w:val="009869CE"/>
    <w:rsid w:val="00B42273"/>
    <w:rsid w:val="00B90620"/>
    <w:rsid w:val="00B930C4"/>
    <w:rsid w:val="00C4667A"/>
    <w:rsid w:val="00C856F3"/>
    <w:rsid w:val="00C9048E"/>
    <w:rsid w:val="00DE295D"/>
    <w:rsid w:val="00ED2622"/>
    <w:rsid w:val="00FA18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332CD"/>
    <w:pPr>
      <w:ind w:left="720"/>
      <w:contextualSpacing/>
    </w:pPr>
  </w:style>
  <w:style w:type="paragraph" w:styleId="Notedebasdepage">
    <w:name w:val="footnote text"/>
    <w:aliases w:val="FA Fußnotentext,FA,Char,Texto de nota de rodapé Char Char, Char,Car,Note de bas de page Car1,Note de bas de page Car Car,Note de bas de page Car1 Car,Note de bas de page Car Car Car Car,Note de bas de page Car Car Car,fn, Car,ft"/>
    <w:basedOn w:val="Normal"/>
    <w:link w:val="NotedebasdepageCar"/>
    <w:uiPriority w:val="99"/>
    <w:unhideWhenUsed/>
    <w:qFormat/>
    <w:rsid w:val="00DE295D"/>
    <w:rPr>
      <w:sz w:val="20"/>
      <w:szCs w:val="20"/>
    </w:rPr>
  </w:style>
  <w:style w:type="character" w:customStyle="1" w:styleId="NotedebasdepageCar">
    <w:name w:val="Note de bas de page Car"/>
    <w:aliases w:val="FA Fußnotentext Car,FA Car,Char Car,Texto de nota de rodapé Char Char Car, Char Car,Car Car,Note de bas de page Car1 Car1,Note de bas de page Car Car Car1,Note de bas de page Car1 Car Car,Note de bas de page Car Car Car Car Car"/>
    <w:basedOn w:val="Policepardfaut"/>
    <w:link w:val="Notedebasdepage"/>
    <w:uiPriority w:val="99"/>
    <w:qFormat/>
    <w:rsid w:val="00DE295D"/>
    <w:rPr>
      <w:sz w:val="20"/>
      <w:szCs w:val="20"/>
    </w:rPr>
  </w:style>
  <w:style w:type="character" w:styleId="Lienhypertexte">
    <w:name w:val="Hyperlink"/>
    <w:basedOn w:val="Policepardfaut"/>
    <w:uiPriority w:val="99"/>
    <w:unhideWhenUsed/>
    <w:rsid w:val="00DE295D"/>
    <w:rPr>
      <w:color w:val="0563C1" w:themeColor="hyperlink"/>
      <w:u w:val="single"/>
    </w:rPr>
  </w:style>
  <w:style w:type="character" w:customStyle="1" w:styleId="UnresolvedMention">
    <w:name w:val="Unresolved Mention"/>
    <w:basedOn w:val="Policepardfaut"/>
    <w:uiPriority w:val="99"/>
    <w:semiHidden/>
    <w:unhideWhenUsed/>
    <w:rsid w:val="002C407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332CD"/>
    <w:pPr>
      <w:ind w:left="720"/>
      <w:contextualSpacing/>
    </w:pPr>
  </w:style>
  <w:style w:type="paragraph" w:styleId="Notedebasdepage">
    <w:name w:val="footnote text"/>
    <w:aliases w:val="FA Fußnotentext,FA,Char,Texto de nota de rodapé Char Char, Char,Car,Note de bas de page Car1,Note de bas de page Car Car,Note de bas de page Car1 Car,Note de bas de page Car Car Car Car,Note de bas de page Car Car Car,fn, Car,ft"/>
    <w:basedOn w:val="Normal"/>
    <w:link w:val="NotedebasdepageCar"/>
    <w:uiPriority w:val="99"/>
    <w:unhideWhenUsed/>
    <w:qFormat/>
    <w:rsid w:val="00DE295D"/>
    <w:rPr>
      <w:sz w:val="20"/>
      <w:szCs w:val="20"/>
    </w:rPr>
  </w:style>
  <w:style w:type="character" w:customStyle="1" w:styleId="NotedebasdepageCar">
    <w:name w:val="Note de bas de page Car"/>
    <w:aliases w:val="FA Fußnotentext Car,FA Car,Char Car,Texto de nota de rodapé Char Char Car, Char Car,Car Car,Note de bas de page Car1 Car1,Note de bas de page Car Car Car1,Note de bas de page Car1 Car Car,Note de bas de page Car Car Car Car Car"/>
    <w:basedOn w:val="Policepardfaut"/>
    <w:link w:val="Notedebasdepage"/>
    <w:uiPriority w:val="99"/>
    <w:qFormat/>
    <w:rsid w:val="00DE295D"/>
    <w:rPr>
      <w:sz w:val="20"/>
      <w:szCs w:val="20"/>
    </w:rPr>
  </w:style>
  <w:style w:type="character" w:styleId="Lienhypertexte">
    <w:name w:val="Hyperlink"/>
    <w:basedOn w:val="Policepardfaut"/>
    <w:uiPriority w:val="99"/>
    <w:unhideWhenUsed/>
    <w:rsid w:val="00DE295D"/>
    <w:rPr>
      <w:color w:val="0563C1" w:themeColor="hyperlink"/>
      <w:u w:val="single"/>
    </w:rPr>
  </w:style>
  <w:style w:type="character" w:customStyle="1" w:styleId="UnresolvedMention">
    <w:name w:val="Unresolved Mention"/>
    <w:basedOn w:val="Policepardfaut"/>
    <w:uiPriority w:val="99"/>
    <w:semiHidden/>
    <w:unhideWhenUsed/>
    <w:rsid w:val="002C4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l.archives-ouvertes.fr/hal-01550578/document" TargetMode="External"/><Relationship Id="rId3" Type="http://schemas.microsoft.com/office/2007/relationships/stylesWithEffects" Target="stylesWithEffects.xml"/><Relationship Id="rId7" Type="http://schemas.openxmlformats.org/officeDocument/2006/relationships/hyperlink" Target="https://hal.archives-ouvertes.fr/hal-01574823/docu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0BzXilfcxe7yuM3VRWTZDeEtmSGc/view"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1212</Words>
  <Characters>6672</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mathilde boutonnet</dc:creator>
  <cp:lastModifiedBy>MICHALLET Isabelle</cp:lastModifiedBy>
  <cp:revision>2</cp:revision>
  <dcterms:created xsi:type="dcterms:W3CDTF">2019-01-11T10:53:00Z</dcterms:created>
  <dcterms:modified xsi:type="dcterms:W3CDTF">2019-01-11T10:53:00Z</dcterms:modified>
</cp:coreProperties>
</file>