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B8" w:rsidRDefault="00CB3AB8" w:rsidP="00CB3AB8">
      <w:pPr>
        <w:spacing w:after="60" w:line="240" w:lineRule="auto"/>
        <w:ind w:firstLine="426"/>
        <w:jc w:val="center"/>
        <w:outlineLvl w:val="0"/>
        <w:rPr>
          <w:rFonts w:ascii="Garamond" w:hAnsi="Garamond" w:cs="Times New Roman"/>
          <w:b/>
          <w:sz w:val="24"/>
          <w:szCs w:val="24"/>
        </w:rPr>
      </w:pPr>
      <w:r w:rsidRPr="00CB3AB8">
        <w:rPr>
          <w:rFonts w:ascii="Garamond" w:hAnsi="Garamond" w:cs="Times New Roman"/>
          <w:b/>
          <w:sz w:val="24"/>
          <w:szCs w:val="24"/>
        </w:rPr>
        <w:t xml:space="preserve">PLAN </w:t>
      </w:r>
      <w:r w:rsidRPr="00CB3AB8">
        <w:rPr>
          <w:rFonts w:ascii="Garamond" w:hAnsi="Garamond" w:cs="Times New Roman"/>
          <w:b/>
          <w:sz w:val="24"/>
          <w:szCs w:val="24"/>
        </w:rPr>
        <w:t>des 2 premières séances : rappel des notions clés</w:t>
      </w:r>
      <w:r>
        <w:rPr>
          <w:rFonts w:ascii="Garamond" w:hAnsi="Garamond" w:cs="Times New Roman"/>
          <w:b/>
          <w:sz w:val="24"/>
          <w:szCs w:val="24"/>
        </w:rPr>
        <w:t xml:space="preserve"> de RCG</w:t>
      </w:r>
      <w:bookmarkStart w:id="0" w:name="_GoBack"/>
      <w:bookmarkEnd w:id="0"/>
    </w:p>
    <w:p w:rsidR="00CB3AB8" w:rsidRPr="00CB3AB8" w:rsidRDefault="00CB3AB8" w:rsidP="00CB3AB8">
      <w:pPr>
        <w:spacing w:after="60" w:line="240" w:lineRule="auto"/>
        <w:ind w:firstLine="426"/>
        <w:jc w:val="center"/>
        <w:outlineLvl w:val="0"/>
        <w:rPr>
          <w:rFonts w:ascii="Garamond" w:hAnsi="Garamond" w:cs="Times New Roman"/>
          <w:b/>
          <w:sz w:val="24"/>
          <w:szCs w:val="24"/>
        </w:rPr>
      </w:pPr>
    </w:p>
    <w:p w:rsidR="00CB3AB8" w:rsidRPr="00CB3AB8" w:rsidRDefault="00CB3AB8" w:rsidP="00CB3AB8">
      <w:pPr>
        <w:spacing w:after="60" w:line="240" w:lineRule="auto"/>
        <w:outlineLvl w:val="0"/>
        <w:rPr>
          <w:rFonts w:ascii="Garamond" w:hAnsi="Garamond" w:cs="Times New Roman"/>
          <w:b/>
          <w:sz w:val="24"/>
          <w:szCs w:val="24"/>
        </w:rPr>
      </w:pPr>
      <w:r w:rsidRPr="00CB3AB8">
        <w:rPr>
          <w:rFonts w:ascii="Garamond" w:hAnsi="Garamond" w:cs="Times New Roman"/>
          <w:b/>
          <w:sz w:val="24"/>
          <w:szCs w:val="24"/>
        </w:rPr>
        <w:t>Introduction à la RC générale</w:t>
      </w:r>
    </w:p>
    <w:p w:rsidR="00CB3AB8" w:rsidRPr="00CB3AB8" w:rsidRDefault="00CB3AB8" w:rsidP="00CB3AB8">
      <w:pPr>
        <w:numPr>
          <w:ilvl w:val="0"/>
          <w:numId w:val="1"/>
        </w:numPr>
        <w:spacing w:after="60" w:line="240" w:lineRule="auto"/>
        <w:rPr>
          <w:rFonts w:ascii="Garamond" w:hAnsi="Garamond" w:cs="Times New Roman"/>
          <w:sz w:val="24"/>
          <w:szCs w:val="24"/>
        </w:rPr>
      </w:pPr>
      <w:r w:rsidRPr="00CB3AB8">
        <w:rPr>
          <w:rFonts w:ascii="Garamond" w:hAnsi="Garamond" w:cs="Times New Roman"/>
          <w:sz w:val="24"/>
          <w:szCs w:val="24"/>
        </w:rPr>
        <w:t xml:space="preserve">Notion de responsabilité civile </w:t>
      </w:r>
    </w:p>
    <w:p w:rsidR="00CB3AB8" w:rsidRPr="00CB3AB8" w:rsidRDefault="00CB3AB8" w:rsidP="00CB3AB8">
      <w:pPr>
        <w:numPr>
          <w:ilvl w:val="0"/>
          <w:numId w:val="1"/>
        </w:numPr>
        <w:spacing w:after="60" w:line="240" w:lineRule="auto"/>
        <w:rPr>
          <w:rFonts w:ascii="Garamond" w:hAnsi="Garamond" w:cs="Times New Roman"/>
          <w:sz w:val="24"/>
          <w:szCs w:val="24"/>
        </w:rPr>
      </w:pPr>
      <w:r w:rsidRPr="00CB3AB8">
        <w:rPr>
          <w:rFonts w:ascii="Garamond" w:hAnsi="Garamond" w:cs="Times New Roman"/>
          <w:sz w:val="24"/>
          <w:szCs w:val="24"/>
        </w:rPr>
        <w:t>Responsabilité délictuelle et responsabilité contractuelle : principe du non cumul</w:t>
      </w:r>
    </w:p>
    <w:p w:rsidR="00CB3AB8" w:rsidRPr="00CB3AB8" w:rsidRDefault="00CB3AB8" w:rsidP="00CB3AB8">
      <w:pPr>
        <w:numPr>
          <w:ilvl w:val="0"/>
          <w:numId w:val="1"/>
        </w:numPr>
        <w:spacing w:after="60" w:line="240" w:lineRule="auto"/>
        <w:rPr>
          <w:rFonts w:ascii="Garamond" w:hAnsi="Garamond" w:cs="Times New Roman"/>
          <w:sz w:val="24"/>
          <w:szCs w:val="24"/>
        </w:rPr>
      </w:pPr>
      <w:r w:rsidRPr="00CB3AB8">
        <w:rPr>
          <w:rFonts w:ascii="Garamond" w:hAnsi="Garamond" w:cs="Times New Roman"/>
          <w:sz w:val="24"/>
          <w:szCs w:val="24"/>
        </w:rPr>
        <w:t>Responsabilité civile de droit commun et responsabilités spéciales</w:t>
      </w:r>
    </w:p>
    <w:p w:rsidR="00CB3AB8" w:rsidRPr="00CB3AB8" w:rsidRDefault="00CB3AB8" w:rsidP="00CB3AB8">
      <w:pPr>
        <w:spacing w:after="60" w:line="240" w:lineRule="auto"/>
        <w:rPr>
          <w:rFonts w:ascii="Garamond" w:eastAsia="Times New Roman" w:hAnsi="Garamond" w:cs="Times New Roman"/>
          <w:b/>
          <w:sz w:val="24"/>
          <w:szCs w:val="24"/>
          <w:lang w:eastAsia="fr-FR"/>
        </w:rPr>
      </w:pPr>
    </w:p>
    <w:p w:rsidR="00CB3AB8" w:rsidRPr="00CB3AB8" w:rsidRDefault="00CB3AB8" w:rsidP="00CB3AB8">
      <w:pPr>
        <w:spacing w:after="60" w:line="240" w:lineRule="auto"/>
        <w:rPr>
          <w:rFonts w:ascii="Garamond" w:hAnsi="Garamond" w:cs="Times New Roman"/>
          <w:b/>
          <w:sz w:val="24"/>
          <w:szCs w:val="24"/>
        </w:rPr>
      </w:pPr>
      <w:r w:rsidRPr="00CB3AB8">
        <w:rPr>
          <w:rFonts w:ascii="Garamond" w:hAnsi="Garamond" w:cs="Times New Roman"/>
          <w:b/>
          <w:sz w:val="24"/>
          <w:szCs w:val="24"/>
        </w:rPr>
        <w:t xml:space="preserve">I) Droit commun de la responsabilité contractuelle </w:t>
      </w:r>
    </w:p>
    <w:p w:rsidR="00CB3AB8" w:rsidRPr="00CB3AB8" w:rsidRDefault="00CB3AB8" w:rsidP="00CB3AB8">
      <w:pPr>
        <w:spacing w:after="60" w:line="240" w:lineRule="auto"/>
        <w:ind w:firstLine="708"/>
        <w:rPr>
          <w:rFonts w:ascii="Garamond" w:hAnsi="Garamond" w:cs="Times New Roman"/>
          <w:sz w:val="24"/>
          <w:szCs w:val="24"/>
          <w:u w:val="single"/>
        </w:rPr>
      </w:pPr>
      <w:r w:rsidRPr="00CB3AB8">
        <w:rPr>
          <w:rFonts w:ascii="Garamond" w:hAnsi="Garamond" w:cs="Times New Roman"/>
          <w:sz w:val="24"/>
          <w:szCs w:val="24"/>
          <w:u w:val="single"/>
        </w:rPr>
        <w:t>A) Les conditions de la responsabilité contractuelle</w:t>
      </w:r>
    </w:p>
    <w:p w:rsidR="00CB3AB8" w:rsidRPr="00CB3AB8" w:rsidRDefault="00CB3AB8" w:rsidP="00CB3AB8">
      <w:pPr>
        <w:spacing w:after="60" w:line="240" w:lineRule="auto"/>
        <w:ind w:firstLine="708"/>
        <w:rPr>
          <w:rFonts w:ascii="Garamond" w:hAnsi="Garamond" w:cs="Times New Roman"/>
          <w:b/>
          <w:i/>
          <w:sz w:val="24"/>
          <w:szCs w:val="24"/>
        </w:rPr>
      </w:pPr>
      <w:r w:rsidRPr="00CB3AB8">
        <w:rPr>
          <w:rFonts w:ascii="Garamond" w:hAnsi="Garamond" w:cs="Times New Roman"/>
          <w:b/>
          <w:i/>
          <w:sz w:val="24"/>
          <w:szCs w:val="24"/>
        </w:rPr>
        <w:t xml:space="preserve">1) Le fait générateur : l’inexécution contractuelle </w:t>
      </w:r>
    </w:p>
    <w:p w:rsidR="00CB3AB8" w:rsidRPr="00CB3AB8" w:rsidRDefault="00CB3AB8" w:rsidP="00CB3AB8">
      <w:pPr>
        <w:spacing w:after="60" w:line="240" w:lineRule="auto"/>
        <w:ind w:left="1416"/>
        <w:rPr>
          <w:rFonts w:ascii="Garamond" w:hAnsi="Garamond" w:cs="Times New Roman"/>
          <w:sz w:val="24"/>
          <w:szCs w:val="24"/>
        </w:rPr>
      </w:pPr>
      <w:r w:rsidRPr="00CB3AB8">
        <w:rPr>
          <w:rFonts w:ascii="Garamond" w:hAnsi="Garamond" w:cs="Times New Roman"/>
          <w:sz w:val="24"/>
          <w:szCs w:val="24"/>
        </w:rPr>
        <w:t xml:space="preserve">a) L’existence d’une obligation contractuelle </w:t>
      </w:r>
    </w:p>
    <w:p w:rsidR="00CB3AB8" w:rsidRPr="00CB3AB8" w:rsidRDefault="00CB3AB8" w:rsidP="00CB3AB8">
      <w:pPr>
        <w:spacing w:after="60" w:line="240" w:lineRule="auto"/>
        <w:ind w:left="1416"/>
        <w:rPr>
          <w:rFonts w:ascii="Garamond" w:hAnsi="Garamond" w:cs="Times New Roman"/>
          <w:sz w:val="24"/>
          <w:szCs w:val="24"/>
        </w:rPr>
      </w:pPr>
      <w:r w:rsidRPr="00CB3AB8">
        <w:rPr>
          <w:rFonts w:ascii="Garamond" w:hAnsi="Garamond" w:cs="Times New Roman"/>
          <w:sz w:val="24"/>
          <w:szCs w:val="24"/>
        </w:rPr>
        <w:t>b) La preuve de l’inexécution :</w:t>
      </w:r>
    </w:p>
    <w:p w:rsidR="00CB3AB8" w:rsidRPr="00CB3AB8" w:rsidRDefault="00CB3AB8" w:rsidP="00CB3AB8">
      <w:pPr>
        <w:spacing w:after="60" w:line="240" w:lineRule="auto"/>
        <w:ind w:left="1416"/>
        <w:rPr>
          <w:rFonts w:ascii="Garamond" w:hAnsi="Garamond" w:cs="Times New Roman"/>
          <w:sz w:val="24"/>
          <w:szCs w:val="24"/>
        </w:rPr>
      </w:pPr>
      <w:r w:rsidRPr="00CB3AB8">
        <w:rPr>
          <w:rFonts w:ascii="Garamond" w:hAnsi="Garamond" w:cs="Times New Roman"/>
          <w:sz w:val="24"/>
          <w:szCs w:val="24"/>
        </w:rPr>
        <w:t>c) Les causes d’exonération : Force majeure – fait du créancier et fait du tiers</w:t>
      </w:r>
    </w:p>
    <w:p w:rsidR="00CB3AB8" w:rsidRPr="00CB3AB8" w:rsidRDefault="00CB3AB8" w:rsidP="00CB3AB8">
      <w:pPr>
        <w:spacing w:after="60" w:line="240" w:lineRule="auto"/>
        <w:ind w:firstLine="708"/>
        <w:rPr>
          <w:rFonts w:ascii="Garamond" w:hAnsi="Garamond" w:cs="Times New Roman"/>
          <w:i/>
          <w:sz w:val="24"/>
          <w:szCs w:val="24"/>
        </w:rPr>
      </w:pPr>
      <w:r w:rsidRPr="00CB3AB8">
        <w:rPr>
          <w:rFonts w:ascii="Garamond" w:hAnsi="Garamond" w:cs="Times New Roman"/>
          <w:b/>
          <w:i/>
          <w:sz w:val="24"/>
          <w:szCs w:val="24"/>
        </w:rPr>
        <w:t>2) Le préjudice en matière contractuelle</w:t>
      </w:r>
    </w:p>
    <w:p w:rsidR="00CB3AB8" w:rsidRPr="00CB3AB8" w:rsidRDefault="00CB3AB8" w:rsidP="00CB3AB8">
      <w:pPr>
        <w:tabs>
          <w:tab w:val="left" w:pos="1335"/>
        </w:tabs>
        <w:spacing w:after="60" w:line="240" w:lineRule="auto"/>
        <w:ind w:firstLine="709"/>
        <w:rPr>
          <w:rFonts w:ascii="Garamond" w:hAnsi="Garamond" w:cs="Times New Roman"/>
          <w:b/>
          <w:i/>
          <w:sz w:val="24"/>
          <w:szCs w:val="24"/>
        </w:rPr>
      </w:pPr>
      <w:r w:rsidRPr="00CB3AB8">
        <w:rPr>
          <w:rFonts w:ascii="Garamond" w:hAnsi="Garamond" w:cs="Times New Roman"/>
          <w:b/>
          <w:i/>
          <w:sz w:val="24"/>
          <w:szCs w:val="24"/>
        </w:rPr>
        <w:t xml:space="preserve">3) Le lien de causalité en RC contractuelle </w:t>
      </w:r>
    </w:p>
    <w:p w:rsidR="00CB3AB8" w:rsidRPr="00CB3AB8" w:rsidRDefault="00CB3AB8" w:rsidP="00CB3AB8">
      <w:pPr>
        <w:tabs>
          <w:tab w:val="left" w:pos="1335"/>
        </w:tabs>
        <w:spacing w:after="60" w:line="240" w:lineRule="auto"/>
        <w:rPr>
          <w:rFonts w:ascii="Garamond" w:hAnsi="Garamond" w:cs="Times New Roman"/>
          <w:b/>
          <w:i/>
          <w:sz w:val="24"/>
          <w:szCs w:val="24"/>
        </w:rPr>
      </w:pPr>
    </w:p>
    <w:p w:rsidR="00CB3AB8" w:rsidRPr="00CB3AB8" w:rsidRDefault="00CB3AB8" w:rsidP="00CB3AB8">
      <w:pPr>
        <w:spacing w:after="60" w:line="240" w:lineRule="auto"/>
        <w:ind w:firstLine="708"/>
        <w:rPr>
          <w:rFonts w:ascii="Garamond" w:hAnsi="Garamond" w:cs="Times New Roman"/>
          <w:sz w:val="24"/>
          <w:szCs w:val="24"/>
          <w:u w:val="single"/>
        </w:rPr>
      </w:pPr>
      <w:r w:rsidRPr="00CB3AB8">
        <w:rPr>
          <w:rFonts w:ascii="Garamond" w:hAnsi="Garamond" w:cs="Times New Roman"/>
          <w:sz w:val="24"/>
          <w:szCs w:val="24"/>
          <w:u w:val="single"/>
        </w:rPr>
        <w:t>B) Les effets de la responsabilité contractuelle</w:t>
      </w:r>
    </w:p>
    <w:p w:rsidR="00CB3AB8" w:rsidRPr="00CB3AB8" w:rsidRDefault="00CB3AB8" w:rsidP="00CB3AB8">
      <w:pPr>
        <w:pStyle w:val="Paragraphedeliste"/>
        <w:numPr>
          <w:ilvl w:val="0"/>
          <w:numId w:val="2"/>
        </w:numPr>
        <w:spacing w:after="60" w:line="240" w:lineRule="auto"/>
        <w:rPr>
          <w:rFonts w:ascii="Garamond" w:hAnsi="Garamond" w:cs="Times New Roman"/>
          <w:b/>
          <w:i/>
          <w:sz w:val="24"/>
          <w:szCs w:val="24"/>
        </w:rPr>
      </w:pPr>
      <w:r w:rsidRPr="00CB3AB8">
        <w:rPr>
          <w:rFonts w:ascii="Garamond" w:hAnsi="Garamond" w:cs="Times New Roman"/>
          <w:b/>
          <w:i/>
          <w:sz w:val="24"/>
          <w:szCs w:val="24"/>
        </w:rPr>
        <w:t>La mise en demeure</w:t>
      </w:r>
    </w:p>
    <w:p w:rsidR="00CB3AB8" w:rsidRPr="00CB3AB8" w:rsidRDefault="00CB3AB8" w:rsidP="00CB3AB8">
      <w:pPr>
        <w:pStyle w:val="Paragraphedeliste"/>
        <w:numPr>
          <w:ilvl w:val="0"/>
          <w:numId w:val="2"/>
        </w:numPr>
        <w:spacing w:after="60" w:line="240" w:lineRule="auto"/>
        <w:rPr>
          <w:rFonts w:ascii="Garamond" w:hAnsi="Garamond" w:cs="Times New Roman"/>
          <w:b/>
          <w:i/>
          <w:sz w:val="24"/>
          <w:szCs w:val="24"/>
        </w:rPr>
      </w:pPr>
      <w:r w:rsidRPr="00CB3AB8">
        <w:rPr>
          <w:rFonts w:ascii="Garamond" w:hAnsi="Garamond" w:cs="Times New Roman"/>
          <w:b/>
          <w:i/>
          <w:sz w:val="24"/>
          <w:szCs w:val="24"/>
        </w:rPr>
        <w:t>Les aménagements conventionnels</w:t>
      </w:r>
    </w:p>
    <w:p w:rsidR="00CB3AB8" w:rsidRPr="00CB3AB8" w:rsidRDefault="00CB3AB8" w:rsidP="00CB3AB8">
      <w:pPr>
        <w:spacing w:after="60" w:line="240" w:lineRule="auto"/>
        <w:rPr>
          <w:rFonts w:ascii="Garamond" w:hAnsi="Garamond" w:cs="Times New Roman"/>
          <w:sz w:val="24"/>
          <w:szCs w:val="24"/>
          <w:u w:val="single"/>
        </w:rPr>
      </w:pPr>
    </w:p>
    <w:p w:rsidR="00CB3AB8" w:rsidRPr="00CB3AB8" w:rsidRDefault="00CB3AB8" w:rsidP="00CB3AB8">
      <w:pPr>
        <w:spacing w:after="60" w:line="240" w:lineRule="auto"/>
        <w:rPr>
          <w:rFonts w:ascii="Garamond" w:hAnsi="Garamond" w:cs="Times New Roman"/>
          <w:b/>
          <w:sz w:val="24"/>
          <w:szCs w:val="24"/>
        </w:rPr>
      </w:pPr>
      <w:r w:rsidRPr="00CB3AB8">
        <w:rPr>
          <w:rFonts w:ascii="Garamond" w:hAnsi="Garamond" w:cs="Times New Roman"/>
          <w:b/>
          <w:sz w:val="24"/>
          <w:szCs w:val="24"/>
        </w:rPr>
        <w:t xml:space="preserve">II) Droit commun de la responsabilité délictuelle </w:t>
      </w:r>
    </w:p>
    <w:p w:rsidR="00CB3AB8" w:rsidRPr="00CB3AB8" w:rsidRDefault="00CB3AB8" w:rsidP="00CB3AB8">
      <w:pPr>
        <w:spacing w:after="60" w:line="240" w:lineRule="auto"/>
        <w:ind w:firstLine="708"/>
        <w:rPr>
          <w:rFonts w:ascii="Garamond" w:hAnsi="Garamond" w:cs="Times New Roman"/>
          <w:sz w:val="24"/>
          <w:szCs w:val="24"/>
          <w:u w:val="single"/>
        </w:rPr>
      </w:pPr>
      <w:r w:rsidRPr="00CB3AB8">
        <w:rPr>
          <w:rFonts w:ascii="Garamond" w:hAnsi="Garamond" w:cs="Times New Roman"/>
          <w:sz w:val="24"/>
          <w:szCs w:val="24"/>
          <w:u w:val="single"/>
        </w:rPr>
        <w:t>A) Les conditions de la RC délictuelle</w:t>
      </w:r>
    </w:p>
    <w:p w:rsidR="00CB3AB8" w:rsidRPr="00CB3AB8" w:rsidRDefault="00CB3AB8" w:rsidP="00CB3AB8">
      <w:pPr>
        <w:pStyle w:val="Paragraphedeliste"/>
        <w:numPr>
          <w:ilvl w:val="0"/>
          <w:numId w:val="8"/>
        </w:numPr>
        <w:spacing w:after="60" w:line="240" w:lineRule="auto"/>
        <w:rPr>
          <w:rFonts w:ascii="Garamond" w:hAnsi="Garamond" w:cs="Times New Roman"/>
          <w:b/>
          <w:i/>
          <w:sz w:val="24"/>
          <w:szCs w:val="24"/>
        </w:rPr>
      </w:pPr>
      <w:r w:rsidRPr="00CB3AB8">
        <w:rPr>
          <w:rFonts w:ascii="Garamond" w:hAnsi="Garamond" w:cs="Times New Roman"/>
          <w:b/>
          <w:i/>
          <w:sz w:val="24"/>
          <w:szCs w:val="24"/>
        </w:rPr>
        <w:t>Les différents faits générateurs</w:t>
      </w:r>
    </w:p>
    <w:p w:rsidR="00CB3AB8" w:rsidRPr="00CB3AB8" w:rsidRDefault="00CB3AB8" w:rsidP="00CB3AB8">
      <w:pPr>
        <w:pStyle w:val="Paragraphedeliste"/>
        <w:numPr>
          <w:ilvl w:val="0"/>
          <w:numId w:val="3"/>
        </w:numPr>
        <w:spacing w:after="60" w:line="240" w:lineRule="auto"/>
        <w:rPr>
          <w:rFonts w:ascii="Garamond" w:hAnsi="Garamond" w:cs="Times New Roman"/>
          <w:sz w:val="24"/>
          <w:szCs w:val="24"/>
        </w:rPr>
      </w:pPr>
      <w:r w:rsidRPr="00CB3AB8">
        <w:rPr>
          <w:rFonts w:ascii="Garamond" w:hAnsi="Garamond" w:cs="Times New Roman"/>
          <w:sz w:val="24"/>
          <w:szCs w:val="24"/>
        </w:rPr>
        <w:t>Le fait personnel</w:t>
      </w:r>
    </w:p>
    <w:p w:rsidR="00CB3AB8" w:rsidRPr="00CB3AB8" w:rsidRDefault="00CB3AB8" w:rsidP="00CB3AB8">
      <w:pPr>
        <w:spacing w:after="60" w:line="240" w:lineRule="auto"/>
        <w:ind w:left="1080" w:firstLine="336"/>
        <w:rPr>
          <w:rFonts w:ascii="Garamond" w:eastAsia="Times New Roman" w:hAnsi="Garamond" w:cs="Times New Roman"/>
          <w:i/>
          <w:sz w:val="24"/>
          <w:szCs w:val="24"/>
          <w:lang w:eastAsia="fr-FR"/>
        </w:rPr>
      </w:pPr>
      <w:r w:rsidRPr="00CB3AB8">
        <w:rPr>
          <w:rFonts w:ascii="Garamond" w:eastAsia="Times New Roman" w:hAnsi="Garamond" w:cs="Times New Roman"/>
          <w:i/>
          <w:sz w:val="24"/>
          <w:szCs w:val="24"/>
          <w:lang w:eastAsia="fr-FR"/>
        </w:rPr>
        <w:t>1° Notion de faute</w:t>
      </w:r>
    </w:p>
    <w:p w:rsidR="00CB3AB8" w:rsidRPr="00CB3AB8" w:rsidRDefault="00CB3AB8" w:rsidP="00CB3AB8">
      <w:pPr>
        <w:pStyle w:val="Paragraphedeliste"/>
        <w:numPr>
          <w:ilvl w:val="0"/>
          <w:numId w:val="6"/>
        </w:numPr>
        <w:spacing w:after="60" w:line="240" w:lineRule="auto"/>
        <w:ind w:left="1701" w:firstLine="142"/>
        <w:rPr>
          <w:rFonts w:ascii="Garamond" w:eastAsia="Times New Roman" w:hAnsi="Garamond" w:cs="Times New Roman"/>
          <w:i/>
          <w:sz w:val="24"/>
          <w:szCs w:val="24"/>
          <w:lang w:eastAsia="fr-FR"/>
        </w:rPr>
      </w:pPr>
      <w:r w:rsidRPr="00CB3AB8">
        <w:rPr>
          <w:rFonts w:ascii="Garamond" w:eastAsia="Times New Roman" w:hAnsi="Garamond" w:cs="Times New Roman"/>
          <w:i/>
          <w:sz w:val="24"/>
          <w:szCs w:val="24"/>
          <w:lang w:eastAsia="fr-FR"/>
        </w:rPr>
        <w:t>commission – omission</w:t>
      </w:r>
    </w:p>
    <w:p w:rsidR="00CB3AB8" w:rsidRPr="00CB3AB8" w:rsidRDefault="00CB3AB8" w:rsidP="00CB3AB8">
      <w:pPr>
        <w:pStyle w:val="Paragraphedeliste"/>
        <w:numPr>
          <w:ilvl w:val="0"/>
          <w:numId w:val="6"/>
        </w:numPr>
        <w:tabs>
          <w:tab w:val="left" w:pos="1843"/>
        </w:tabs>
        <w:spacing w:after="60" w:line="240" w:lineRule="auto"/>
        <w:ind w:left="2127" w:hanging="284"/>
        <w:rPr>
          <w:rFonts w:ascii="Garamond" w:eastAsia="Times New Roman" w:hAnsi="Garamond" w:cs="Times New Roman"/>
          <w:i/>
          <w:sz w:val="24"/>
          <w:szCs w:val="24"/>
          <w:lang w:eastAsia="fr-FR"/>
        </w:rPr>
      </w:pPr>
      <w:r w:rsidRPr="00CB3AB8">
        <w:rPr>
          <w:rFonts w:ascii="Garamond" w:eastAsia="Times New Roman" w:hAnsi="Garamond" w:cs="Times New Roman"/>
          <w:i/>
          <w:sz w:val="24"/>
          <w:szCs w:val="24"/>
          <w:lang w:eastAsia="fr-FR"/>
        </w:rPr>
        <w:t>faute objective</w:t>
      </w:r>
    </w:p>
    <w:p w:rsidR="00CB3AB8" w:rsidRPr="00CB3AB8" w:rsidRDefault="00CB3AB8" w:rsidP="00CB3AB8">
      <w:pPr>
        <w:pStyle w:val="Paragraphedeliste"/>
        <w:numPr>
          <w:ilvl w:val="0"/>
          <w:numId w:val="6"/>
        </w:numPr>
        <w:tabs>
          <w:tab w:val="left" w:pos="1843"/>
        </w:tabs>
        <w:spacing w:after="60" w:line="240" w:lineRule="auto"/>
        <w:ind w:left="2127" w:hanging="284"/>
        <w:rPr>
          <w:rFonts w:ascii="Garamond" w:eastAsia="Times New Roman" w:hAnsi="Garamond" w:cs="Times New Roman"/>
          <w:i/>
          <w:sz w:val="24"/>
          <w:szCs w:val="24"/>
          <w:lang w:eastAsia="fr-FR"/>
        </w:rPr>
      </w:pPr>
      <w:r w:rsidRPr="00CB3AB8">
        <w:rPr>
          <w:rFonts w:ascii="Garamond" w:eastAsia="Times New Roman" w:hAnsi="Garamond" w:cs="Times New Roman"/>
          <w:i/>
          <w:sz w:val="24"/>
          <w:szCs w:val="24"/>
          <w:lang w:eastAsia="fr-FR"/>
        </w:rPr>
        <w:t>abus de droit</w:t>
      </w:r>
    </w:p>
    <w:p w:rsidR="00CB3AB8" w:rsidRPr="00CB3AB8" w:rsidRDefault="00CB3AB8" w:rsidP="00CB3AB8">
      <w:pPr>
        <w:pStyle w:val="Paragraphedeliste"/>
        <w:numPr>
          <w:ilvl w:val="0"/>
          <w:numId w:val="6"/>
        </w:numPr>
        <w:tabs>
          <w:tab w:val="left" w:pos="1843"/>
        </w:tabs>
        <w:spacing w:after="60" w:line="240" w:lineRule="auto"/>
        <w:ind w:left="2127" w:hanging="284"/>
        <w:rPr>
          <w:rFonts w:ascii="Garamond" w:eastAsia="Times New Roman" w:hAnsi="Garamond" w:cs="Times New Roman"/>
          <w:i/>
          <w:sz w:val="24"/>
          <w:szCs w:val="24"/>
          <w:lang w:eastAsia="fr-FR"/>
        </w:rPr>
      </w:pPr>
      <w:r w:rsidRPr="00CB3AB8">
        <w:rPr>
          <w:rFonts w:ascii="Garamond" w:eastAsia="Times New Roman" w:hAnsi="Garamond" w:cs="Times New Roman"/>
          <w:i/>
          <w:sz w:val="24"/>
          <w:szCs w:val="24"/>
          <w:lang w:eastAsia="fr-FR"/>
        </w:rPr>
        <w:t>indifférence à la gravité de la faute</w:t>
      </w:r>
    </w:p>
    <w:p w:rsidR="00CB3AB8" w:rsidRDefault="00CB3AB8" w:rsidP="00CB3AB8">
      <w:pPr>
        <w:spacing w:after="60" w:line="240" w:lineRule="auto"/>
        <w:ind w:left="720" w:firstLine="696"/>
        <w:rPr>
          <w:rFonts w:ascii="Garamond" w:eastAsia="Times New Roman" w:hAnsi="Garamond" w:cs="Times New Roman"/>
          <w:i/>
          <w:sz w:val="24"/>
          <w:szCs w:val="24"/>
          <w:lang w:eastAsia="fr-FR"/>
        </w:rPr>
      </w:pPr>
      <w:r w:rsidRPr="00CB3AB8">
        <w:rPr>
          <w:rFonts w:ascii="Garamond" w:eastAsia="Times New Roman" w:hAnsi="Garamond" w:cs="Times New Roman"/>
          <w:i/>
          <w:sz w:val="24"/>
          <w:szCs w:val="24"/>
          <w:lang w:eastAsia="fr-FR"/>
        </w:rPr>
        <w:t>2° : Les causes d’exonération</w:t>
      </w:r>
    </w:p>
    <w:p w:rsidR="00CB3AB8" w:rsidRPr="00CB3AB8" w:rsidRDefault="00CB3AB8" w:rsidP="00CB3AB8">
      <w:pPr>
        <w:spacing w:after="60" w:line="240" w:lineRule="auto"/>
        <w:ind w:left="720" w:firstLine="696"/>
        <w:rPr>
          <w:rFonts w:ascii="Garamond" w:eastAsia="Times New Roman" w:hAnsi="Garamond" w:cs="Times New Roman"/>
          <w:i/>
          <w:sz w:val="24"/>
          <w:szCs w:val="24"/>
          <w:lang w:eastAsia="fr-FR"/>
        </w:rPr>
      </w:pPr>
    </w:p>
    <w:p w:rsidR="00CB3AB8" w:rsidRPr="00CB3AB8" w:rsidRDefault="00CB3AB8" w:rsidP="00CB3AB8">
      <w:pPr>
        <w:pStyle w:val="Paragraphedeliste"/>
        <w:numPr>
          <w:ilvl w:val="0"/>
          <w:numId w:val="3"/>
        </w:numPr>
        <w:spacing w:after="60" w:line="240" w:lineRule="auto"/>
        <w:rPr>
          <w:rFonts w:ascii="Garamond" w:hAnsi="Garamond" w:cs="Times New Roman"/>
          <w:sz w:val="24"/>
          <w:szCs w:val="24"/>
        </w:rPr>
      </w:pPr>
      <w:r w:rsidRPr="00CB3AB8">
        <w:rPr>
          <w:rFonts w:ascii="Garamond" w:hAnsi="Garamond" w:cs="Times New Roman"/>
          <w:sz w:val="24"/>
          <w:szCs w:val="24"/>
        </w:rPr>
        <w:t>Le fait des choses</w:t>
      </w:r>
    </w:p>
    <w:p w:rsidR="00CB3AB8" w:rsidRPr="00CB3AB8" w:rsidRDefault="00CB3AB8" w:rsidP="00CB3AB8">
      <w:pPr>
        <w:spacing w:after="60" w:line="240" w:lineRule="auto"/>
        <w:ind w:left="708" w:firstLine="708"/>
        <w:rPr>
          <w:rFonts w:ascii="Garamond" w:eastAsia="Times New Roman" w:hAnsi="Garamond" w:cs="Times New Roman"/>
          <w:i/>
          <w:sz w:val="24"/>
          <w:szCs w:val="24"/>
          <w:lang w:eastAsia="fr-FR"/>
        </w:rPr>
      </w:pPr>
      <w:r w:rsidRPr="00CB3AB8">
        <w:rPr>
          <w:rFonts w:ascii="Garamond" w:eastAsia="Times New Roman" w:hAnsi="Garamond" w:cs="Times New Roman"/>
          <w:i/>
          <w:sz w:val="24"/>
          <w:szCs w:val="24"/>
          <w:lang w:eastAsia="fr-FR"/>
        </w:rPr>
        <w:t>1° Conditions de la RC du fait des choses</w:t>
      </w:r>
    </w:p>
    <w:p w:rsidR="00CB3AB8" w:rsidRPr="00CB3AB8" w:rsidRDefault="00CB3AB8" w:rsidP="00CB3AB8">
      <w:pPr>
        <w:pStyle w:val="Paragraphedeliste"/>
        <w:numPr>
          <w:ilvl w:val="2"/>
          <w:numId w:val="5"/>
        </w:numPr>
        <w:spacing w:after="60" w:line="240" w:lineRule="auto"/>
        <w:rPr>
          <w:rFonts w:ascii="Garamond" w:eastAsia="Times New Roman" w:hAnsi="Garamond" w:cs="Times New Roman"/>
          <w:i/>
          <w:sz w:val="24"/>
          <w:szCs w:val="24"/>
          <w:lang w:eastAsia="fr-FR"/>
        </w:rPr>
      </w:pPr>
      <w:r w:rsidRPr="00CB3AB8">
        <w:rPr>
          <w:rFonts w:ascii="Garamond" w:eastAsia="Times New Roman" w:hAnsi="Garamond" w:cs="Times New Roman"/>
          <w:i/>
          <w:sz w:val="24"/>
          <w:szCs w:val="24"/>
          <w:lang w:eastAsia="fr-FR"/>
        </w:rPr>
        <w:t xml:space="preserve">Evolution </w:t>
      </w:r>
    </w:p>
    <w:p w:rsidR="00CB3AB8" w:rsidRPr="00CB3AB8" w:rsidRDefault="00CB3AB8" w:rsidP="00CB3AB8">
      <w:pPr>
        <w:pStyle w:val="Paragraphedeliste"/>
        <w:numPr>
          <w:ilvl w:val="2"/>
          <w:numId w:val="5"/>
        </w:numPr>
        <w:spacing w:after="60" w:line="240" w:lineRule="auto"/>
        <w:rPr>
          <w:rFonts w:ascii="Garamond" w:eastAsia="Times New Roman" w:hAnsi="Garamond" w:cs="Times New Roman"/>
          <w:i/>
          <w:sz w:val="24"/>
          <w:szCs w:val="24"/>
          <w:lang w:eastAsia="fr-FR"/>
        </w:rPr>
      </w:pPr>
      <w:r w:rsidRPr="00CB3AB8">
        <w:rPr>
          <w:rFonts w:ascii="Garamond" w:eastAsia="Times New Roman" w:hAnsi="Garamond" w:cs="Times New Roman"/>
          <w:i/>
          <w:sz w:val="24"/>
          <w:szCs w:val="24"/>
          <w:lang w:eastAsia="fr-FR"/>
        </w:rPr>
        <w:t>Une chose</w:t>
      </w:r>
    </w:p>
    <w:p w:rsidR="00CB3AB8" w:rsidRPr="00CB3AB8" w:rsidRDefault="00CB3AB8" w:rsidP="00CB3AB8">
      <w:pPr>
        <w:pStyle w:val="Paragraphedeliste"/>
        <w:numPr>
          <w:ilvl w:val="2"/>
          <w:numId w:val="5"/>
        </w:numPr>
        <w:spacing w:after="60" w:line="240" w:lineRule="auto"/>
        <w:rPr>
          <w:rFonts w:ascii="Garamond" w:eastAsia="Times New Roman" w:hAnsi="Garamond" w:cs="Times New Roman"/>
          <w:i/>
          <w:sz w:val="24"/>
          <w:szCs w:val="24"/>
          <w:lang w:eastAsia="fr-FR"/>
        </w:rPr>
      </w:pPr>
      <w:r w:rsidRPr="00CB3AB8">
        <w:rPr>
          <w:rFonts w:ascii="Garamond" w:eastAsia="Times New Roman" w:hAnsi="Garamond" w:cs="Times New Roman"/>
          <w:i/>
          <w:sz w:val="24"/>
          <w:szCs w:val="24"/>
          <w:lang w:eastAsia="fr-FR"/>
        </w:rPr>
        <w:t>Un fait</w:t>
      </w:r>
    </w:p>
    <w:p w:rsidR="00CB3AB8" w:rsidRDefault="00CB3AB8" w:rsidP="00CB3AB8">
      <w:pPr>
        <w:pStyle w:val="Paragraphedeliste"/>
        <w:spacing w:after="60" w:line="240" w:lineRule="auto"/>
        <w:rPr>
          <w:rFonts w:ascii="Garamond" w:eastAsia="Times New Roman" w:hAnsi="Garamond" w:cs="Times New Roman"/>
          <w:i/>
          <w:sz w:val="24"/>
          <w:szCs w:val="24"/>
          <w:lang w:eastAsia="fr-FR"/>
        </w:rPr>
      </w:pPr>
      <w:r w:rsidRPr="00CB3AB8">
        <w:rPr>
          <w:rFonts w:ascii="Garamond" w:eastAsia="Times New Roman" w:hAnsi="Garamond" w:cs="Times New Roman"/>
          <w:i/>
          <w:sz w:val="24"/>
          <w:szCs w:val="24"/>
          <w:lang w:eastAsia="fr-FR"/>
        </w:rPr>
        <w:t xml:space="preserve">   </w:t>
      </w:r>
      <w:r w:rsidRPr="00CB3AB8">
        <w:rPr>
          <w:rFonts w:ascii="Garamond" w:eastAsia="Times New Roman" w:hAnsi="Garamond" w:cs="Times New Roman"/>
          <w:i/>
          <w:sz w:val="24"/>
          <w:szCs w:val="24"/>
          <w:lang w:eastAsia="fr-FR"/>
        </w:rPr>
        <w:tab/>
        <w:t>2° : Les causes d’exonération du gardien</w:t>
      </w:r>
    </w:p>
    <w:p w:rsidR="00CB3AB8" w:rsidRPr="00CB3AB8" w:rsidRDefault="00CB3AB8" w:rsidP="00CB3AB8">
      <w:pPr>
        <w:pStyle w:val="Paragraphedeliste"/>
        <w:spacing w:after="60" w:line="240" w:lineRule="auto"/>
        <w:rPr>
          <w:rFonts w:ascii="Garamond" w:eastAsia="Times New Roman" w:hAnsi="Garamond" w:cs="Times New Roman"/>
          <w:i/>
          <w:sz w:val="24"/>
          <w:szCs w:val="24"/>
          <w:lang w:eastAsia="fr-FR"/>
        </w:rPr>
      </w:pPr>
    </w:p>
    <w:p w:rsidR="00CB3AB8" w:rsidRPr="00CB3AB8" w:rsidRDefault="00CB3AB8" w:rsidP="00CB3AB8">
      <w:pPr>
        <w:pStyle w:val="Paragraphedeliste"/>
        <w:numPr>
          <w:ilvl w:val="0"/>
          <w:numId w:val="3"/>
        </w:numPr>
        <w:spacing w:after="60" w:line="240" w:lineRule="auto"/>
        <w:rPr>
          <w:rFonts w:ascii="Garamond" w:hAnsi="Garamond" w:cs="Times New Roman"/>
          <w:sz w:val="24"/>
          <w:szCs w:val="24"/>
        </w:rPr>
      </w:pPr>
      <w:r w:rsidRPr="00CB3AB8">
        <w:rPr>
          <w:rFonts w:ascii="Garamond" w:hAnsi="Garamond" w:cs="Times New Roman"/>
          <w:sz w:val="24"/>
          <w:szCs w:val="24"/>
        </w:rPr>
        <w:t xml:space="preserve">Le fait d’autrui </w:t>
      </w:r>
    </w:p>
    <w:p w:rsidR="00CB3AB8" w:rsidRPr="00CB3AB8" w:rsidRDefault="00CB3AB8" w:rsidP="00CB3AB8">
      <w:pPr>
        <w:spacing w:after="60" w:line="240" w:lineRule="auto"/>
        <w:ind w:left="708" w:firstLine="12"/>
        <w:rPr>
          <w:rFonts w:ascii="Garamond" w:hAnsi="Garamond" w:cs="Times New Roman"/>
          <w:i/>
          <w:sz w:val="24"/>
          <w:szCs w:val="24"/>
        </w:rPr>
      </w:pPr>
      <w:r w:rsidRPr="00CB3AB8">
        <w:rPr>
          <w:rFonts w:ascii="Garamond" w:hAnsi="Garamond" w:cs="Times New Roman"/>
          <w:i/>
          <w:sz w:val="24"/>
          <w:szCs w:val="24"/>
        </w:rPr>
        <w:t xml:space="preserve">     </w:t>
      </w:r>
      <w:r w:rsidRPr="00CB3AB8">
        <w:rPr>
          <w:rFonts w:ascii="Garamond" w:hAnsi="Garamond" w:cs="Times New Roman"/>
          <w:i/>
          <w:sz w:val="24"/>
          <w:szCs w:val="24"/>
        </w:rPr>
        <w:tab/>
        <w:t>1° Des régimes jurisprudentiels de RC du fait d’autrui</w:t>
      </w:r>
    </w:p>
    <w:p w:rsidR="00CB3AB8" w:rsidRPr="00CB3AB8" w:rsidRDefault="00CB3AB8" w:rsidP="00CB3AB8">
      <w:pPr>
        <w:pStyle w:val="Paragraphedeliste"/>
        <w:numPr>
          <w:ilvl w:val="2"/>
          <w:numId w:val="5"/>
        </w:numPr>
        <w:spacing w:after="60" w:line="240" w:lineRule="auto"/>
        <w:rPr>
          <w:rFonts w:ascii="Garamond" w:hAnsi="Garamond" w:cs="Times New Roman"/>
          <w:sz w:val="24"/>
          <w:szCs w:val="24"/>
        </w:rPr>
      </w:pPr>
      <w:r w:rsidRPr="00CB3AB8">
        <w:rPr>
          <w:rFonts w:ascii="Garamond" w:hAnsi="Garamond" w:cs="Times New Roman"/>
          <w:sz w:val="24"/>
          <w:szCs w:val="24"/>
        </w:rPr>
        <w:t>Raisons d’être</w:t>
      </w:r>
    </w:p>
    <w:p w:rsidR="00CB3AB8" w:rsidRPr="00CB3AB8" w:rsidRDefault="00CB3AB8" w:rsidP="00CB3AB8">
      <w:pPr>
        <w:pStyle w:val="Paragraphedeliste"/>
        <w:numPr>
          <w:ilvl w:val="2"/>
          <w:numId w:val="5"/>
        </w:numPr>
        <w:spacing w:after="60" w:line="240" w:lineRule="auto"/>
        <w:rPr>
          <w:rFonts w:ascii="Garamond" w:hAnsi="Garamond" w:cs="Times New Roman"/>
          <w:sz w:val="24"/>
          <w:szCs w:val="24"/>
        </w:rPr>
      </w:pPr>
      <w:r w:rsidRPr="00CB3AB8">
        <w:rPr>
          <w:rFonts w:ascii="Garamond" w:hAnsi="Garamond" w:cs="Times New Roman"/>
          <w:sz w:val="24"/>
          <w:szCs w:val="24"/>
        </w:rPr>
        <w:t>lacunes textuelles</w:t>
      </w:r>
    </w:p>
    <w:p w:rsidR="00CB3AB8" w:rsidRPr="00CB3AB8" w:rsidRDefault="00CB3AB8" w:rsidP="00CB3AB8">
      <w:pPr>
        <w:pStyle w:val="Paragraphedeliste"/>
        <w:numPr>
          <w:ilvl w:val="2"/>
          <w:numId w:val="5"/>
        </w:numPr>
        <w:spacing w:after="60" w:line="240" w:lineRule="auto"/>
        <w:rPr>
          <w:rFonts w:ascii="Garamond" w:hAnsi="Garamond" w:cs="Times New Roman"/>
          <w:sz w:val="24"/>
          <w:szCs w:val="24"/>
        </w:rPr>
      </w:pPr>
      <w:r w:rsidRPr="00CB3AB8">
        <w:rPr>
          <w:rFonts w:ascii="Garamond" w:hAnsi="Garamond" w:cs="Times New Roman"/>
          <w:sz w:val="24"/>
          <w:szCs w:val="24"/>
        </w:rPr>
        <w:t xml:space="preserve">Arrêt </w:t>
      </w:r>
      <w:proofErr w:type="spellStart"/>
      <w:r w:rsidRPr="00CB3AB8">
        <w:rPr>
          <w:rFonts w:ascii="Garamond" w:hAnsi="Garamond" w:cs="Times New Roman"/>
          <w:i/>
          <w:sz w:val="24"/>
          <w:szCs w:val="24"/>
        </w:rPr>
        <w:t>Blieck</w:t>
      </w:r>
      <w:proofErr w:type="spellEnd"/>
    </w:p>
    <w:p w:rsidR="00CB3AB8" w:rsidRPr="00CB3AB8" w:rsidRDefault="00CB3AB8" w:rsidP="00CB3AB8">
      <w:pPr>
        <w:spacing w:after="60" w:line="240" w:lineRule="auto"/>
        <w:ind w:left="708"/>
        <w:rPr>
          <w:rFonts w:ascii="Garamond" w:hAnsi="Garamond" w:cs="Times New Roman"/>
          <w:i/>
          <w:sz w:val="24"/>
          <w:szCs w:val="24"/>
        </w:rPr>
      </w:pPr>
    </w:p>
    <w:p w:rsidR="00CB3AB8" w:rsidRPr="00CB3AB8" w:rsidRDefault="00CB3AB8" w:rsidP="00CB3AB8">
      <w:pPr>
        <w:spacing w:after="60" w:line="240" w:lineRule="auto"/>
        <w:ind w:left="708"/>
        <w:rPr>
          <w:rFonts w:ascii="Garamond" w:hAnsi="Garamond" w:cs="Times New Roman"/>
          <w:i/>
          <w:sz w:val="24"/>
          <w:szCs w:val="24"/>
        </w:rPr>
      </w:pPr>
      <w:r w:rsidRPr="00CB3AB8">
        <w:rPr>
          <w:rFonts w:ascii="Garamond" w:hAnsi="Garamond" w:cs="Times New Roman"/>
          <w:i/>
          <w:sz w:val="24"/>
          <w:szCs w:val="24"/>
        </w:rPr>
        <w:lastRenderedPageBreak/>
        <w:t xml:space="preserve">     </w:t>
      </w:r>
      <w:r w:rsidRPr="00CB3AB8">
        <w:rPr>
          <w:rFonts w:ascii="Garamond" w:hAnsi="Garamond" w:cs="Times New Roman"/>
          <w:i/>
          <w:sz w:val="24"/>
          <w:szCs w:val="24"/>
        </w:rPr>
        <w:tab/>
        <w:t>2° Des régimes spéciaux de RC du fait d’autrui</w:t>
      </w:r>
    </w:p>
    <w:p w:rsidR="00CB3AB8" w:rsidRPr="00CB3AB8" w:rsidRDefault="00CB3AB8" w:rsidP="00CB3AB8">
      <w:pPr>
        <w:pStyle w:val="Paragraphedeliste"/>
        <w:numPr>
          <w:ilvl w:val="2"/>
          <w:numId w:val="4"/>
        </w:numPr>
        <w:spacing w:after="60" w:line="240" w:lineRule="auto"/>
        <w:rPr>
          <w:rFonts w:ascii="Garamond" w:hAnsi="Garamond" w:cs="Times New Roman"/>
          <w:sz w:val="24"/>
          <w:szCs w:val="24"/>
          <w:u w:val="single"/>
        </w:rPr>
      </w:pPr>
      <w:r w:rsidRPr="00CB3AB8">
        <w:rPr>
          <w:rFonts w:ascii="Garamond" w:hAnsi="Garamond" w:cs="Times New Roman"/>
          <w:sz w:val="24"/>
          <w:szCs w:val="24"/>
          <w:u w:val="single"/>
        </w:rPr>
        <w:t>La RC des parents du fait de leur enfant mineur</w:t>
      </w:r>
    </w:p>
    <w:p w:rsidR="00CB3AB8" w:rsidRPr="00CB3AB8" w:rsidRDefault="00CB3AB8" w:rsidP="00CB3AB8">
      <w:pPr>
        <w:pStyle w:val="Paragraphedeliste"/>
        <w:numPr>
          <w:ilvl w:val="3"/>
          <w:numId w:val="9"/>
        </w:numPr>
        <w:spacing w:after="60" w:line="240" w:lineRule="auto"/>
        <w:ind w:left="2552" w:hanging="284"/>
        <w:rPr>
          <w:rFonts w:ascii="Garamond" w:hAnsi="Garamond" w:cs="Times New Roman"/>
          <w:sz w:val="24"/>
          <w:szCs w:val="24"/>
        </w:rPr>
      </w:pPr>
      <w:r w:rsidRPr="00CB3AB8">
        <w:rPr>
          <w:rFonts w:ascii="Garamond" w:hAnsi="Garamond" w:cs="Times New Roman"/>
          <w:sz w:val="24"/>
          <w:szCs w:val="24"/>
        </w:rPr>
        <w:t>Conditions</w:t>
      </w:r>
    </w:p>
    <w:p w:rsidR="00CB3AB8" w:rsidRPr="00CB3AB8" w:rsidRDefault="00CB3AB8" w:rsidP="00CB3AB8">
      <w:pPr>
        <w:pStyle w:val="Paragraphedeliste"/>
        <w:numPr>
          <w:ilvl w:val="3"/>
          <w:numId w:val="9"/>
        </w:numPr>
        <w:spacing w:after="60" w:line="240" w:lineRule="auto"/>
        <w:ind w:left="2552" w:hanging="284"/>
        <w:rPr>
          <w:rFonts w:ascii="Garamond" w:hAnsi="Garamond" w:cs="Times New Roman"/>
          <w:sz w:val="24"/>
          <w:szCs w:val="24"/>
        </w:rPr>
      </w:pPr>
      <w:r w:rsidRPr="00CB3AB8">
        <w:rPr>
          <w:rFonts w:ascii="Garamond" w:hAnsi="Garamond" w:cs="Times New Roman"/>
          <w:sz w:val="24"/>
          <w:szCs w:val="24"/>
        </w:rPr>
        <w:t>nature</w:t>
      </w:r>
    </w:p>
    <w:p w:rsidR="00CB3AB8" w:rsidRPr="00CB3AB8" w:rsidRDefault="00CB3AB8" w:rsidP="00CB3AB8">
      <w:pPr>
        <w:pStyle w:val="Paragraphedeliste"/>
        <w:numPr>
          <w:ilvl w:val="3"/>
          <w:numId w:val="9"/>
        </w:numPr>
        <w:spacing w:after="60" w:line="240" w:lineRule="auto"/>
        <w:ind w:left="2552" w:hanging="284"/>
        <w:rPr>
          <w:rFonts w:ascii="Garamond" w:hAnsi="Garamond" w:cs="Times New Roman"/>
          <w:sz w:val="24"/>
          <w:szCs w:val="24"/>
        </w:rPr>
      </w:pPr>
      <w:r w:rsidRPr="00CB3AB8">
        <w:rPr>
          <w:rFonts w:ascii="Garamond" w:hAnsi="Garamond" w:cs="Times New Roman"/>
          <w:sz w:val="24"/>
          <w:szCs w:val="24"/>
        </w:rPr>
        <w:t>exonération</w:t>
      </w:r>
    </w:p>
    <w:p w:rsidR="00CB3AB8" w:rsidRPr="00CB3AB8" w:rsidRDefault="00CB3AB8" w:rsidP="00CB3AB8">
      <w:pPr>
        <w:pStyle w:val="Paragraphedeliste"/>
        <w:numPr>
          <w:ilvl w:val="2"/>
          <w:numId w:val="4"/>
        </w:numPr>
        <w:spacing w:after="60" w:line="240" w:lineRule="auto"/>
        <w:rPr>
          <w:rFonts w:ascii="Garamond" w:hAnsi="Garamond" w:cs="Times New Roman"/>
          <w:sz w:val="24"/>
          <w:szCs w:val="24"/>
          <w:u w:val="single"/>
        </w:rPr>
      </w:pPr>
      <w:r w:rsidRPr="00CB3AB8">
        <w:rPr>
          <w:rFonts w:ascii="Garamond" w:hAnsi="Garamond" w:cs="Times New Roman"/>
          <w:sz w:val="24"/>
          <w:szCs w:val="24"/>
          <w:u w:val="single"/>
        </w:rPr>
        <w:t>La RC des commettants du fait de son préposé</w:t>
      </w:r>
    </w:p>
    <w:p w:rsidR="00CB3AB8" w:rsidRPr="00CB3AB8" w:rsidRDefault="00CB3AB8" w:rsidP="00CB3AB8">
      <w:pPr>
        <w:pStyle w:val="Paragraphedeliste"/>
        <w:numPr>
          <w:ilvl w:val="0"/>
          <w:numId w:val="7"/>
        </w:numPr>
        <w:spacing w:after="60" w:line="240" w:lineRule="auto"/>
        <w:ind w:left="2552" w:hanging="284"/>
        <w:rPr>
          <w:rFonts w:ascii="Garamond" w:hAnsi="Garamond" w:cs="Times New Roman"/>
          <w:sz w:val="24"/>
          <w:szCs w:val="24"/>
        </w:rPr>
      </w:pPr>
      <w:r w:rsidRPr="00CB3AB8">
        <w:rPr>
          <w:rFonts w:ascii="Garamond" w:hAnsi="Garamond" w:cs="Times New Roman"/>
          <w:sz w:val="24"/>
          <w:szCs w:val="24"/>
        </w:rPr>
        <w:t>Conditions</w:t>
      </w:r>
    </w:p>
    <w:p w:rsidR="00CB3AB8" w:rsidRPr="00CB3AB8" w:rsidRDefault="00CB3AB8" w:rsidP="00CB3AB8">
      <w:pPr>
        <w:pStyle w:val="Paragraphedeliste"/>
        <w:numPr>
          <w:ilvl w:val="0"/>
          <w:numId w:val="7"/>
        </w:numPr>
        <w:spacing w:after="60" w:line="240" w:lineRule="auto"/>
        <w:ind w:left="2552" w:hanging="284"/>
        <w:rPr>
          <w:rFonts w:ascii="Garamond" w:hAnsi="Garamond" w:cs="Times New Roman"/>
          <w:sz w:val="24"/>
          <w:szCs w:val="24"/>
        </w:rPr>
      </w:pPr>
      <w:r w:rsidRPr="00CB3AB8">
        <w:rPr>
          <w:rFonts w:ascii="Garamond" w:hAnsi="Garamond" w:cs="Times New Roman"/>
          <w:sz w:val="24"/>
          <w:szCs w:val="24"/>
        </w:rPr>
        <w:t>Nature</w:t>
      </w:r>
    </w:p>
    <w:p w:rsidR="00CB3AB8" w:rsidRPr="00CB3AB8" w:rsidRDefault="00CB3AB8" w:rsidP="00CB3AB8">
      <w:pPr>
        <w:spacing w:after="60" w:line="240" w:lineRule="auto"/>
        <w:rPr>
          <w:rFonts w:ascii="Garamond" w:hAnsi="Garamond" w:cs="Times New Roman"/>
          <w:i/>
          <w:sz w:val="24"/>
          <w:szCs w:val="24"/>
        </w:rPr>
      </w:pPr>
    </w:p>
    <w:p w:rsidR="00CB3AB8" w:rsidRPr="00CB3AB8" w:rsidRDefault="00CB3AB8" w:rsidP="00CB3AB8">
      <w:pPr>
        <w:pStyle w:val="Paragraphedeliste"/>
        <w:numPr>
          <w:ilvl w:val="0"/>
          <w:numId w:val="8"/>
        </w:numPr>
        <w:spacing w:after="60" w:line="240" w:lineRule="auto"/>
        <w:rPr>
          <w:rFonts w:ascii="Garamond" w:hAnsi="Garamond" w:cs="Times New Roman"/>
          <w:b/>
          <w:i/>
          <w:sz w:val="24"/>
          <w:szCs w:val="24"/>
        </w:rPr>
      </w:pPr>
      <w:r w:rsidRPr="00CB3AB8">
        <w:rPr>
          <w:rFonts w:ascii="Garamond" w:hAnsi="Garamond" w:cs="Times New Roman"/>
          <w:b/>
          <w:i/>
          <w:sz w:val="24"/>
          <w:szCs w:val="24"/>
        </w:rPr>
        <w:t>Le préjudice</w:t>
      </w:r>
    </w:p>
    <w:p w:rsidR="00CB3AB8" w:rsidRPr="00CB3AB8" w:rsidRDefault="00CB3AB8" w:rsidP="00CB3AB8">
      <w:pPr>
        <w:tabs>
          <w:tab w:val="left" w:pos="900"/>
        </w:tabs>
        <w:spacing w:after="60" w:line="240" w:lineRule="auto"/>
        <w:jc w:val="both"/>
        <w:rPr>
          <w:rFonts w:ascii="Garamond" w:hAnsi="Garamond" w:cs="Times New Roman"/>
          <w:b/>
          <w:i/>
          <w:sz w:val="24"/>
          <w:szCs w:val="24"/>
        </w:rPr>
      </w:pPr>
    </w:p>
    <w:p w:rsidR="00CB3AB8" w:rsidRPr="00CB3AB8" w:rsidRDefault="00CB3AB8" w:rsidP="00CB3AB8">
      <w:pPr>
        <w:pStyle w:val="Paragraphedeliste"/>
        <w:numPr>
          <w:ilvl w:val="0"/>
          <w:numId w:val="8"/>
        </w:numPr>
        <w:tabs>
          <w:tab w:val="left" w:pos="900"/>
        </w:tabs>
        <w:spacing w:after="60" w:line="240" w:lineRule="auto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CB3AB8">
        <w:rPr>
          <w:rFonts w:ascii="Garamond" w:hAnsi="Garamond" w:cs="Times New Roman"/>
          <w:b/>
          <w:i/>
          <w:sz w:val="24"/>
          <w:szCs w:val="24"/>
        </w:rPr>
        <w:t>Le lien de causalité</w:t>
      </w:r>
    </w:p>
    <w:p w:rsidR="00CB3AB8" w:rsidRPr="00CB3AB8" w:rsidRDefault="00CB3AB8" w:rsidP="00CB3AB8">
      <w:pPr>
        <w:pStyle w:val="Paragraphedeliste"/>
        <w:numPr>
          <w:ilvl w:val="1"/>
          <w:numId w:val="5"/>
        </w:numPr>
        <w:tabs>
          <w:tab w:val="left" w:pos="900"/>
        </w:tabs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B3AB8">
        <w:rPr>
          <w:rFonts w:ascii="Garamond" w:hAnsi="Garamond" w:cs="Times New Roman"/>
          <w:sz w:val="24"/>
          <w:szCs w:val="24"/>
        </w:rPr>
        <w:t>Les théories</w:t>
      </w:r>
    </w:p>
    <w:p w:rsidR="00CB3AB8" w:rsidRPr="00CB3AB8" w:rsidRDefault="00CB3AB8" w:rsidP="00CB3AB8">
      <w:pPr>
        <w:pStyle w:val="Paragraphedeliste"/>
        <w:numPr>
          <w:ilvl w:val="1"/>
          <w:numId w:val="5"/>
        </w:numPr>
        <w:tabs>
          <w:tab w:val="left" w:pos="900"/>
        </w:tabs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B3AB8">
        <w:rPr>
          <w:rFonts w:ascii="Garamond" w:hAnsi="Garamond" w:cs="Times New Roman"/>
          <w:sz w:val="24"/>
          <w:szCs w:val="24"/>
        </w:rPr>
        <w:t>Caractères</w:t>
      </w:r>
    </w:p>
    <w:p w:rsidR="00CB3AB8" w:rsidRPr="00CB3AB8" w:rsidRDefault="00CB3AB8" w:rsidP="00CB3AB8">
      <w:pPr>
        <w:pStyle w:val="Paragraphedeliste"/>
        <w:tabs>
          <w:tab w:val="left" w:pos="900"/>
        </w:tabs>
        <w:spacing w:after="60" w:line="240" w:lineRule="auto"/>
        <w:jc w:val="both"/>
        <w:rPr>
          <w:rFonts w:ascii="Garamond" w:hAnsi="Garamond" w:cs="Times New Roman"/>
          <w:i/>
          <w:sz w:val="24"/>
          <w:szCs w:val="24"/>
          <w:u w:val="single"/>
        </w:rPr>
      </w:pPr>
    </w:p>
    <w:p w:rsidR="00CB3AB8" w:rsidRPr="00CB3AB8" w:rsidRDefault="00CB3AB8" w:rsidP="00CB3AB8">
      <w:pPr>
        <w:spacing w:after="60" w:line="240" w:lineRule="auto"/>
        <w:ind w:left="360" w:firstLine="348"/>
        <w:rPr>
          <w:rFonts w:ascii="Garamond" w:hAnsi="Garamond" w:cs="Times New Roman"/>
          <w:i/>
          <w:sz w:val="24"/>
          <w:szCs w:val="24"/>
        </w:rPr>
      </w:pPr>
      <w:r w:rsidRPr="00CB3AB8">
        <w:rPr>
          <w:rFonts w:ascii="Garamond" w:hAnsi="Garamond" w:cs="Times New Roman"/>
          <w:sz w:val="24"/>
          <w:szCs w:val="24"/>
          <w:u w:val="single"/>
        </w:rPr>
        <w:t>B) Les effets de la responsabilité civile délictuelle</w:t>
      </w:r>
    </w:p>
    <w:p w:rsidR="008D56F4" w:rsidRDefault="008D56F4"/>
    <w:sectPr w:rsidR="008D56F4" w:rsidSect="00EC4A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D5114"/>
    <w:multiLevelType w:val="hybridMultilevel"/>
    <w:tmpl w:val="59D0D648"/>
    <w:lvl w:ilvl="0" w:tplc="040C0003">
      <w:start w:val="1"/>
      <w:numFmt w:val="bullet"/>
      <w:lvlText w:val="o"/>
      <w:lvlJc w:val="left"/>
      <w:pPr>
        <w:ind w:left="294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8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707" w:hanging="360"/>
      </w:pPr>
      <w:rPr>
        <w:rFonts w:ascii="Wingdings" w:hAnsi="Wingdings" w:hint="default"/>
      </w:rPr>
    </w:lvl>
  </w:abstractNum>
  <w:abstractNum w:abstractNumId="1">
    <w:nsid w:val="28724967"/>
    <w:multiLevelType w:val="hybridMultilevel"/>
    <w:tmpl w:val="9A80A1D2"/>
    <w:lvl w:ilvl="0" w:tplc="701079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F91E5F"/>
    <w:multiLevelType w:val="hybridMultilevel"/>
    <w:tmpl w:val="A184F03C"/>
    <w:lvl w:ilvl="0" w:tplc="040C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394B2401"/>
    <w:multiLevelType w:val="hybridMultilevel"/>
    <w:tmpl w:val="A6AEFB34"/>
    <w:lvl w:ilvl="0" w:tplc="720233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345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7106E29"/>
    <w:multiLevelType w:val="hybridMultilevel"/>
    <w:tmpl w:val="3D5C3FC6"/>
    <w:lvl w:ilvl="0" w:tplc="040C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593813E7"/>
    <w:multiLevelType w:val="hybridMultilevel"/>
    <w:tmpl w:val="968C26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54FDD"/>
    <w:multiLevelType w:val="hybridMultilevel"/>
    <w:tmpl w:val="E7E4DC88"/>
    <w:lvl w:ilvl="0" w:tplc="D4FE9D70">
      <w:start w:val="1"/>
      <w:numFmt w:val="upperLetter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6DB51A4B"/>
    <w:multiLevelType w:val="hybridMultilevel"/>
    <w:tmpl w:val="C77673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3874EA"/>
    <w:multiLevelType w:val="hybridMultilevel"/>
    <w:tmpl w:val="9BBE7204"/>
    <w:lvl w:ilvl="0" w:tplc="040C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B8"/>
    <w:rsid w:val="008D56F4"/>
    <w:rsid w:val="00CB3AB8"/>
    <w:rsid w:val="00EC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E82D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AB8"/>
    <w:pPr>
      <w:spacing w:after="200" w:line="276" w:lineRule="auto"/>
    </w:pPr>
    <w:rPr>
      <w:rFonts w:asciiTheme="minorHAnsi" w:eastAsiaTheme="minorHAnsi" w:hAnsi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3A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AB8"/>
    <w:pPr>
      <w:spacing w:after="200" w:line="276" w:lineRule="auto"/>
    </w:pPr>
    <w:rPr>
      <w:rFonts w:asciiTheme="minorHAnsi" w:eastAsiaTheme="minorHAnsi" w:hAnsi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3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1386</Characters>
  <Application>Microsoft Macintosh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</dc:creator>
  <cp:keywords/>
  <dc:description/>
  <cp:lastModifiedBy>Sabine</cp:lastModifiedBy>
  <cp:revision>1</cp:revision>
  <dcterms:created xsi:type="dcterms:W3CDTF">2019-01-25T09:59:00Z</dcterms:created>
  <dcterms:modified xsi:type="dcterms:W3CDTF">2019-01-25T10:01:00Z</dcterms:modified>
</cp:coreProperties>
</file>