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79A92" w14:textId="77777777" w:rsidR="00AC5520" w:rsidRPr="00FA5CB0" w:rsidRDefault="00AC5520" w:rsidP="00AC5520">
      <w:pPr>
        <w:jc w:val="center"/>
        <w:rPr>
          <w:rFonts w:ascii="Garamond" w:hAnsi="Garamond"/>
          <w:b/>
          <w:i/>
          <w:sz w:val="32"/>
          <w:szCs w:val="32"/>
        </w:rPr>
      </w:pPr>
      <w:r w:rsidRPr="00FA5CB0">
        <w:rPr>
          <w:rFonts w:ascii="Garamond" w:hAnsi="Garamond"/>
          <w:b/>
          <w:i/>
          <w:sz w:val="32"/>
          <w:szCs w:val="32"/>
        </w:rPr>
        <w:t>SYLLABUS</w:t>
      </w:r>
    </w:p>
    <w:p w14:paraId="46E1BC3D" w14:textId="77777777" w:rsidR="00AC5520" w:rsidRPr="00FA5CB0" w:rsidRDefault="00AC5520" w:rsidP="00AC5520">
      <w:pPr>
        <w:jc w:val="center"/>
        <w:rPr>
          <w:rFonts w:ascii="Garamond" w:hAnsi="Garamond"/>
          <w:b/>
          <w:i/>
        </w:rPr>
      </w:pPr>
    </w:p>
    <w:p w14:paraId="5CFF4AE6" w14:textId="77777777" w:rsidR="00AC5520" w:rsidRPr="00FA5CB0" w:rsidRDefault="00AC5520" w:rsidP="00AC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FA5CB0">
        <w:rPr>
          <w:rFonts w:ascii="Garamond" w:hAnsi="Garamond"/>
        </w:rPr>
        <w:t>INTITULÉ DU MASTER : DROIT INTERNATIONAL</w:t>
      </w:r>
      <w:r>
        <w:rPr>
          <w:rFonts w:ascii="Garamond" w:hAnsi="Garamond"/>
        </w:rPr>
        <w:t xml:space="preserve"> PUBLIC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48E9321F" w14:textId="77777777" w:rsidR="00AC5520" w:rsidRPr="00FA5CB0" w:rsidRDefault="00AC5520" w:rsidP="00AC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FA5CB0">
        <w:rPr>
          <w:rFonts w:ascii="Garamond" w:hAnsi="Garamond"/>
        </w:rPr>
        <w:t xml:space="preserve">INTITULÉ DU COURS : DROIT </w:t>
      </w:r>
      <w:r>
        <w:rPr>
          <w:rFonts w:ascii="Garamond" w:hAnsi="Garamond"/>
        </w:rPr>
        <w:t>DE LA MER</w:t>
      </w:r>
    </w:p>
    <w:p w14:paraId="35349D90" w14:textId="77777777" w:rsidR="00AC5520" w:rsidRPr="00FA5CB0" w:rsidRDefault="00AC5520" w:rsidP="00AC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FA5CB0">
        <w:rPr>
          <w:rFonts w:ascii="Garamond" w:hAnsi="Garamond"/>
        </w:rPr>
        <w:t xml:space="preserve">SEMESTRE : </w:t>
      </w:r>
      <w:r>
        <w:rPr>
          <w:rFonts w:ascii="Garamond" w:hAnsi="Garamond"/>
        </w:rPr>
        <w:t>9</w:t>
      </w:r>
    </w:p>
    <w:p w14:paraId="3E8D7009" w14:textId="77777777" w:rsidR="00AC5520" w:rsidRPr="00FA5CB0" w:rsidRDefault="00AC5520" w:rsidP="00AC5520">
      <w:pPr>
        <w:jc w:val="both"/>
        <w:rPr>
          <w:rFonts w:ascii="Garamond" w:hAnsi="Garamond"/>
        </w:rPr>
      </w:pPr>
    </w:p>
    <w:p w14:paraId="354D8125" w14:textId="77777777" w:rsidR="00AC5520" w:rsidRPr="00FA5CB0" w:rsidRDefault="00AC5520" w:rsidP="00AC5520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</w:p>
    <w:p w14:paraId="79604340" w14:textId="77777777" w:rsidR="00AC5520" w:rsidRPr="00FA5CB0" w:rsidRDefault="00AC5520" w:rsidP="00AC5520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r w:rsidRPr="00FA5CB0">
        <w:rPr>
          <w:rFonts w:ascii="Garamond" w:hAnsi="Garamond"/>
          <w:b/>
        </w:rPr>
        <w:t>Bibliographie</w:t>
      </w:r>
    </w:p>
    <w:p w14:paraId="7D00F425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28A3200F" w14:textId="77777777" w:rsidR="00AC5520" w:rsidRPr="00AC5520" w:rsidRDefault="00AC5520" w:rsidP="00AC5520">
      <w:pPr>
        <w:numPr>
          <w:ilvl w:val="0"/>
          <w:numId w:val="2"/>
        </w:numPr>
        <w:contextualSpacing/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Manuels :</w:t>
      </w:r>
    </w:p>
    <w:p w14:paraId="1511B997" w14:textId="77777777" w:rsidR="00AC5520" w:rsidRPr="00AC5520" w:rsidRDefault="00AC5520" w:rsidP="00AC5520">
      <w:pPr>
        <w:jc w:val="both"/>
        <w:rPr>
          <w:rFonts w:ascii="Garamond" w:hAnsi="Garamond" w:cs="Helvetica Neue"/>
          <w:color w:val="000000" w:themeColor="text1"/>
        </w:rPr>
      </w:pPr>
    </w:p>
    <w:p w14:paraId="64099D09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>CATALDI</w:t>
      </w:r>
      <w:r w:rsidRPr="00AC5520">
        <w:rPr>
          <w:rFonts w:ascii="Garamond" w:hAnsi="Garamond"/>
          <w:color w:val="000000" w:themeColor="text1"/>
        </w:rPr>
        <w:t xml:space="preserve"> </w:t>
      </w:r>
      <w:r w:rsidRPr="00AC5520">
        <w:rPr>
          <w:rFonts w:ascii="Garamond" w:hAnsi="Garamond" w:cs="Helvetica Neue"/>
          <w:color w:val="000000" w:themeColor="text1"/>
        </w:rPr>
        <w:t xml:space="preserve">Giuseppe et CASADO Raigón Rafael, </w:t>
      </w:r>
      <w:r w:rsidRPr="00AC5520">
        <w:rPr>
          <w:rFonts w:ascii="Garamond" w:hAnsi="Garamond" w:cs="Helvetica Neue"/>
          <w:i/>
          <w:color w:val="000000" w:themeColor="text1"/>
        </w:rPr>
        <w:t>L'évolution et l'état actuel du droit international de la mer : mélanges de droit de la mer offerts à Daniel Vignes</w:t>
      </w:r>
      <w:r w:rsidRPr="00AC5520">
        <w:rPr>
          <w:rFonts w:ascii="Garamond" w:hAnsi="Garamond" w:cs="Helvetica Neue"/>
          <w:color w:val="000000" w:themeColor="text1"/>
        </w:rPr>
        <w:t>, Bruxelles : Bruylant, 2009</w:t>
      </w:r>
    </w:p>
    <w:p w14:paraId="5FDA5189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DE MARFFY A.,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La génèse du nouveau droit de la mer. Le comité des fonds marins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Paris, Pedone, 1980</w:t>
      </w:r>
    </w:p>
    <w:p w14:paraId="5576EADB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>Institut du droit économique de la mer,</w:t>
      </w:r>
      <w:r w:rsidRPr="00AC5520">
        <w:rPr>
          <w:rFonts w:ascii="Garamond" w:hAnsi="Garamond"/>
          <w:color w:val="000000" w:themeColor="text1"/>
        </w:rPr>
        <w:t xml:space="preserve"> </w:t>
      </w:r>
      <w:r w:rsidRPr="00AC5520">
        <w:rPr>
          <w:rFonts w:ascii="Garamond" w:hAnsi="Garamond" w:cs="Helvetica Neue"/>
          <w:i/>
          <w:color w:val="000000" w:themeColor="text1"/>
        </w:rPr>
        <w:t>La convention des Nations Unies sur le droit de la mer vingt ans après</w:t>
      </w:r>
      <w:r w:rsidRPr="00AC5520">
        <w:rPr>
          <w:rFonts w:ascii="Garamond" w:hAnsi="Garamond" w:cs="Helvetica Neue"/>
          <w:color w:val="000000" w:themeColor="text1"/>
        </w:rPr>
        <w:t xml:space="preserve"> : pratique opérationnelle des États, Paris, Pedone, 2015</w:t>
      </w:r>
    </w:p>
    <w:p w14:paraId="4E1CB796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>LUCCHINI</w:t>
      </w:r>
      <w:r w:rsidRPr="00AC5520">
        <w:rPr>
          <w:rFonts w:ascii="Garamond" w:hAnsi="Garamond"/>
          <w:color w:val="000000" w:themeColor="text1"/>
        </w:rPr>
        <w:t xml:space="preserve"> Laurent et VOELCKEL Michel, </w:t>
      </w:r>
      <w:r w:rsidRPr="00AC5520">
        <w:rPr>
          <w:rFonts w:ascii="Garamond" w:hAnsi="Garamond" w:cs="Helvetica Neue"/>
          <w:i/>
          <w:color w:val="000000" w:themeColor="text1"/>
        </w:rPr>
        <w:t xml:space="preserve">Droit de la mer. Tome 1. </w:t>
      </w:r>
      <w:proofErr w:type="gramStart"/>
      <w:r w:rsidRPr="00AC5520">
        <w:rPr>
          <w:rFonts w:ascii="Garamond" w:hAnsi="Garamond" w:cs="Helvetica Neue"/>
          <w:i/>
          <w:color w:val="000000" w:themeColor="text1"/>
        </w:rPr>
        <w:t>la</w:t>
      </w:r>
      <w:proofErr w:type="gramEnd"/>
      <w:r w:rsidRPr="00AC5520">
        <w:rPr>
          <w:rFonts w:ascii="Garamond" w:hAnsi="Garamond" w:cs="Helvetica Neue"/>
          <w:i/>
          <w:color w:val="000000" w:themeColor="text1"/>
        </w:rPr>
        <w:t xml:space="preserve"> Mer et son droit, les espaces maritimes</w:t>
      </w:r>
      <w:r w:rsidRPr="00AC5520">
        <w:rPr>
          <w:rFonts w:ascii="Garamond" w:hAnsi="Garamond" w:cs="Helvetica Neue"/>
          <w:color w:val="000000" w:themeColor="text1"/>
        </w:rPr>
        <w:t>, Paris : A. Pédone, 1990</w:t>
      </w:r>
    </w:p>
    <w:p w14:paraId="3EBBE223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>LUCCHINI</w:t>
      </w:r>
      <w:r w:rsidRPr="00AC5520">
        <w:rPr>
          <w:rFonts w:ascii="Garamond" w:hAnsi="Garamond"/>
          <w:color w:val="000000" w:themeColor="text1"/>
        </w:rPr>
        <w:t xml:space="preserve"> Laurent et VOELCKEL Michel, </w:t>
      </w:r>
      <w:r w:rsidRPr="00AC5520">
        <w:rPr>
          <w:rFonts w:ascii="Garamond" w:hAnsi="Garamond" w:cs="Helvetica Neue"/>
          <w:i/>
          <w:color w:val="000000" w:themeColor="text1"/>
        </w:rPr>
        <w:t xml:space="preserve">Droit de la mer. Tome II. </w:t>
      </w:r>
      <w:proofErr w:type="gramStart"/>
      <w:r w:rsidRPr="00AC5520">
        <w:rPr>
          <w:rFonts w:ascii="Garamond" w:hAnsi="Garamond" w:cs="Helvetica Neue"/>
          <w:i/>
          <w:color w:val="000000" w:themeColor="text1"/>
        </w:rPr>
        <w:t>délimitation</w:t>
      </w:r>
      <w:proofErr w:type="gramEnd"/>
      <w:r w:rsidRPr="00AC5520">
        <w:rPr>
          <w:rFonts w:ascii="Garamond" w:hAnsi="Garamond" w:cs="Helvetica Neue"/>
          <w:i/>
          <w:color w:val="000000" w:themeColor="text1"/>
        </w:rPr>
        <w:t>, navigation, pêche</w:t>
      </w:r>
      <w:r w:rsidRPr="00AC5520">
        <w:rPr>
          <w:rFonts w:ascii="Garamond" w:hAnsi="Garamond" w:cs="Helvetica Neue"/>
          <w:color w:val="000000" w:themeColor="text1"/>
        </w:rPr>
        <w:t>, Paris : A. Pédone, 1996</w:t>
      </w:r>
    </w:p>
    <w:p w14:paraId="48DF4117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 xml:space="preserve">MAHINGA Jean-Grégoire, </w:t>
      </w:r>
      <w:r w:rsidRPr="00AC5520">
        <w:rPr>
          <w:rFonts w:ascii="Garamond" w:hAnsi="Garamond" w:cs="Helvetica Neue"/>
          <w:i/>
          <w:color w:val="000000" w:themeColor="text1"/>
        </w:rPr>
        <w:t>Le statut du tribunal international du droit de la mer : commentaire article par article</w:t>
      </w:r>
      <w:r w:rsidRPr="00AC5520">
        <w:rPr>
          <w:rFonts w:ascii="Garamond" w:hAnsi="Garamond" w:cs="Helvetica Neue"/>
          <w:color w:val="000000" w:themeColor="text1"/>
        </w:rPr>
        <w:t>, Paris, L'Harmattan, DL 2015, cop. 2015</w:t>
      </w:r>
    </w:p>
    <w:p w14:paraId="37D0EA2B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 xml:space="preserve">MAHINGA Jean-Grégoire, </w:t>
      </w:r>
      <w:r w:rsidRPr="00AC5520">
        <w:rPr>
          <w:rFonts w:ascii="Garamond" w:hAnsi="Garamond" w:cs="Helvetica Neue"/>
          <w:i/>
          <w:color w:val="000000" w:themeColor="text1"/>
        </w:rPr>
        <w:t>Le tribunal international du droit de la mer : organisation, compétence et procédure</w:t>
      </w:r>
      <w:r w:rsidRPr="00AC5520">
        <w:rPr>
          <w:rFonts w:ascii="Garamond" w:hAnsi="Garamond" w:cs="Helvetica Neue"/>
          <w:color w:val="000000" w:themeColor="text1"/>
        </w:rPr>
        <w:t>, Bruxelles : Larcier, DL 2013, cop. 2013</w:t>
      </w:r>
    </w:p>
    <w:p w14:paraId="64B45327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NERI Kiara,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L’emploi de la force en mer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Bruylant, Bruxelles, 2013</w:t>
      </w:r>
    </w:p>
    <w:p w14:paraId="74E6EFB5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PANCRACIO Jean-Paul,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Droit de la mer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Paris, Dalloz, 2010</w:t>
      </w:r>
    </w:p>
    <w:p w14:paraId="5A86EC36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 xml:space="preserve">SMOLINSKA Anna Maria, </w:t>
      </w:r>
      <w:r w:rsidRPr="00AC5520">
        <w:rPr>
          <w:rFonts w:ascii="Garamond" w:hAnsi="Garamond" w:cs="Helvetica Neue"/>
          <w:i/>
          <w:color w:val="000000" w:themeColor="text1"/>
        </w:rPr>
        <w:t>Le droit de la mer entre universalisme et régionalisme</w:t>
      </w:r>
      <w:r w:rsidRPr="00AC5520">
        <w:rPr>
          <w:rFonts w:ascii="Garamond" w:hAnsi="Garamond" w:cs="Helvetica Neue"/>
          <w:color w:val="000000" w:themeColor="text1"/>
        </w:rPr>
        <w:t>, Bruxelles, Bruylant, DL 2014, cop. 2014</w:t>
      </w:r>
    </w:p>
    <w:p w14:paraId="0520BE65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/>
          <w:color w:val="000000" w:themeColor="text1"/>
        </w:rPr>
        <w:t xml:space="preserve">TREVES Tullio, </w:t>
      </w:r>
      <w:r w:rsidRPr="00AC5520">
        <w:rPr>
          <w:rFonts w:ascii="Garamond" w:hAnsi="Garamond" w:cs="Helvetica Neue"/>
          <w:color w:val="000000" w:themeColor="text1"/>
        </w:rPr>
        <w:t>Codification du droit international et pratique des États dans le droit de la mer. Tullio Treves, LeidenBoston : Brill, cop. 2008</w:t>
      </w:r>
    </w:p>
    <w:p w14:paraId="5434D5F2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TRAPP (K.) et PAPASTAVRIDIS (E.) </w:t>
      </w:r>
      <w:r w:rsidRPr="00AC5520">
        <w:rPr>
          <w:rFonts w:ascii="Garamond" w:eastAsia="Times New Roman" w:hAnsi="Garamond" w:cs="Times New Roman"/>
          <w:i/>
          <w:lang w:eastAsia="fr-FR"/>
        </w:rPr>
        <w:t>La criminalité en mer/ Criminal acts at sea</w:t>
      </w:r>
      <w:r w:rsidRPr="00AC5520">
        <w:rPr>
          <w:rFonts w:ascii="Garamond" w:eastAsia="Times New Roman" w:hAnsi="Garamond" w:cs="Times New Roman"/>
          <w:lang w:eastAsia="fr-FR"/>
        </w:rPr>
        <w:t>, Centre de recherche et d’études, Académie de droit international de La Haye, Matinus Nijhoff, 2014</w:t>
      </w:r>
    </w:p>
    <w:p w14:paraId="0A009A08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Helvetica Neue"/>
          <w:color w:val="000000" w:themeColor="text1"/>
        </w:rPr>
      </w:pPr>
      <w:r w:rsidRPr="00AC5520">
        <w:rPr>
          <w:rFonts w:ascii="Garamond" w:hAnsi="Garamond" w:cs="Helvetica Neue"/>
          <w:color w:val="000000" w:themeColor="text1"/>
        </w:rPr>
        <w:t>VINCENT</w:t>
      </w:r>
      <w:r w:rsidRPr="00AC5520">
        <w:rPr>
          <w:rFonts w:ascii="Garamond" w:hAnsi="Garamond"/>
          <w:color w:val="000000" w:themeColor="text1"/>
        </w:rPr>
        <w:t xml:space="preserve"> Philippe, </w:t>
      </w:r>
      <w:r w:rsidRPr="00AC5520">
        <w:rPr>
          <w:rFonts w:ascii="Garamond" w:hAnsi="Garamond" w:cs="Helvetica Neue"/>
          <w:color w:val="000000" w:themeColor="text1"/>
        </w:rPr>
        <w:t>Droit de la mer, Bruxelles : Larcier, DL 2008</w:t>
      </w:r>
    </w:p>
    <w:p w14:paraId="5421D4B6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30EA1F9D" w14:textId="77777777" w:rsidR="00AC5520" w:rsidRPr="00AC5520" w:rsidRDefault="00AC5520" w:rsidP="00AC5520">
      <w:pPr>
        <w:numPr>
          <w:ilvl w:val="0"/>
          <w:numId w:val="2"/>
        </w:numPr>
        <w:contextualSpacing/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Articles et cours :</w:t>
      </w:r>
    </w:p>
    <w:p w14:paraId="20CB872E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3B0DAB9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Développements historiques du droit de la mer et codification :</w:t>
      </w:r>
    </w:p>
    <w:p w14:paraId="167C2BA1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34A27151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ACCIOLY H., « La liberté des mers et le droit de pêche en haute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1957, pp.193-202.</w:t>
      </w:r>
    </w:p>
    <w:p w14:paraId="56E2023F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AUBERT L.-M.-B., « La mer territoriale de la Norvège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1894, pp.429 et s.</w:t>
      </w:r>
    </w:p>
    <w:p w14:paraId="377D1237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BARDONNET Daniel, « La largeur de la mer territoriale », </w:t>
      </w:r>
      <w:r w:rsidRPr="00AC5520">
        <w:rPr>
          <w:rFonts w:ascii="Garamond" w:eastAsia="Times New Roman" w:hAnsi="Garamond" w:cs="Times New Roman"/>
          <w:i/>
          <w:lang w:eastAsia="fr-FR"/>
        </w:rPr>
        <w:t>Revue Generale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1962, pp.34 et s.</w:t>
      </w:r>
    </w:p>
    <w:p w14:paraId="54308DF6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BEURIER Jean-Pierre, « Le contenu économique des normes juridiques dans le droit de la mer contemporain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1974, pp.575-622.</w:t>
      </w:r>
    </w:p>
    <w:p w14:paraId="65C3093B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BEURIER Jean-Pierre, « Les résultats de la Conférence de Genève sur le droit de la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1975, pp.750-762.</w:t>
      </w:r>
    </w:p>
    <w:p w14:paraId="064607BC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BIERZANEK Remigius, « La nature juridique de la haute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1961, pp.233 et s.</w:t>
      </w:r>
    </w:p>
    <w:p w14:paraId="47A36EF8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lastRenderedPageBreak/>
        <w:t xml:space="preserve"> GODEY P., « Les limites de la mer territoriale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1896, pp.224 et s.</w:t>
      </w:r>
    </w:p>
    <w:p w14:paraId="63E4F85B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HERSHEY A.-S., « La codification des règles de la guerre sur mer à la troisième Conférence de la Haye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1913, pp.460 et s.</w:t>
      </w:r>
    </w:p>
    <w:p w14:paraId="6218BA36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LAPRADELLE, de A., « Le droit de l’État sur la mer territoriale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 xml:space="preserve">, 1898, pp.264 </w:t>
      </w:r>
    </w:p>
    <w:p w14:paraId="69AC8CD2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>LEVY J.-P., « La Troisième Conférence sur le droit de la mer ». In: Annuaire français de droit international, volume 17, 1971, pp. 784-832</w:t>
      </w:r>
    </w:p>
    <w:p w14:paraId="1BA34103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 LUCCHINI Laurent, « Les opérations militaires en mer en temps de paix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1984, pp.9_45.</w:t>
      </w:r>
    </w:p>
    <w:p w14:paraId="6101D911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PALAZZOLI Claude, « De quelques développements récents du droit des gens en matière d’accès à la mer des pays dépourvus de littoral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1966, pp.667 et s.</w:t>
      </w:r>
    </w:p>
    <w:p w14:paraId="1EF15E3C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PANNATIER Serge, « Problèmes actuels de la pêche en haute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1997, pp.421 et s.</w:t>
      </w:r>
    </w:p>
    <w:p w14:paraId="2CB8DD58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PATEY J., « La Conférence des Nations Unies sur le droit de la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1958, pp.446-467.</w:t>
      </w:r>
    </w:p>
    <w:p w14:paraId="4B103FA0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RAESTAD A., « A propos du livre du Professeur G. Gidel. Le droit international de la mer, T. III. Quelques réflexions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1936, pp.77-91.</w:t>
      </w:r>
    </w:p>
    <w:p w14:paraId="4965C1FA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RÆSTAD A., « La portée du canon comme limite de le mer territoriale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1912, pp.598 et s.</w:t>
      </w:r>
    </w:p>
    <w:p w14:paraId="5FCF806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SIBERT Marcel, « La police en haute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1927, pp.20 et s.</w:t>
      </w:r>
    </w:p>
    <w:p w14:paraId="367D5DBC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TAVERNIER Paul, « Les nouveaux États sans littoral d’Europe et d’Asie et l’accès à la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1993, pp.727-744.</w:t>
      </w:r>
    </w:p>
    <w:p w14:paraId="0281D43C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THIBAUT Françoise, « L’Amérique latine et l’évolution du droit international de la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1971, pp.742-758.</w:t>
      </w:r>
    </w:p>
    <w:p w14:paraId="49B7BA98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THIBAUT Françoise, « Le continent américain et la crise du droit de la mer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1976, pp.785-834.</w:t>
      </w:r>
    </w:p>
    <w:p w14:paraId="287E26EC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VALÉRY J., « Le Pape Alexandre III et la liberté des mers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1907, pp.240 et s.</w:t>
      </w:r>
    </w:p>
    <w:p w14:paraId="0AA8041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 YEPES J.M., « Les nouvelles tendances de droit international de la mer et le droit international américain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1956, pp.10-79.</w:t>
      </w:r>
    </w:p>
    <w:p w14:paraId="6AB12CA9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TREVES Tullio. « Réflexions sur quelques conséquences de l'entrée en vigueur de la convention des Nations Unies sur le droit de la mer ». In: </w:t>
      </w:r>
      <w:r w:rsidRPr="00AC5520">
        <w:rPr>
          <w:rFonts w:ascii="Garamond" w:eastAsia="Times New Roman" w:hAnsi="Garamond" w:cs="Times New Roman"/>
          <w:i/>
          <w:lang w:eastAsia="fr-FR"/>
        </w:rPr>
        <w:t>Annuaire français de droit international</w:t>
      </w:r>
      <w:r w:rsidRPr="00AC5520">
        <w:rPr>
          <w:rFonts w:ascii="Garamond" w:eastAsia="Times New Roman" w:hAnsi="Garamond" w:cs="Times New Roman"/>
          <w:lang w:eastAsia="fr-FR"/>
        </w:rPr>
        <w:t>, volume 40, 1994. pp. 849-863</w:t>
      </w:r>
    </w:p>
    <w:p w14:paraId="2A0B2E7B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DE LACHARRIERE Guy. « Le nouveau droit de la mer ». In: </w:t>
      </w:r>
      <w:r w:rsidRPr="00AC5520">
        <w:rPr>
          <w:rFonts w:ascii="Garamond" w:eastAsia="Times New Roman" w:hAnsi="Garamond" w:cs="Times New Roman"/>
          <w:i/>
          <w:lang w:eastAsia="fr-FR"/>
        </w:rPr>
        <w:t>Politique étrangère</w:t>
      </w:r>
      <w:r w:rsidRPr="00AC5520">
        <w:rPr>
          <w:rFonts w:ascii="Garamond" w:eastAsia="Times New Roman" w:hAnsi="Garamond" w:cs="Times New Roman"/>
          <w:lang w:eastAsia="fr-FR"/>
        </w:rPr>
        <w:t>, n°1 - 1980 - 45</w:t>
      </w:r>
      <w:r w:rsidRPr="00AC5520">
        <w:rPr>
          <w:rFonts w:ascii="Calibri" w:eastAsia="Calibri" w:hAnsi="Calibri" w:cs="Calibri"/>
          <w:lang w:eastAsia="fr-FR"/>
        </w:rPr>
        <w:t>ᵉ</w:t>
      </w:r>
      <w:r w:rsidRPr="00AC5520">
        <w:rPr>
          <w:rFonts w:ascii="Garamond" w:eastAsia="Times New Roman" w:hAnsi="Garamond" w:cs="Times New Roman"/>
          <w:lang w:eastAsia="fr-FR"/>
        </w:rPr>
        <w:t>année. pp. 87-113.</w:t>
      </w:r>
    </w:p>
    <w:p w14:paraId="0A02EB6B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2D0E2D55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Patrimoine commun de l’humanité</w:t>
      </w:r>
    </w:p>
    <w:p w14:paraId="13EDD7F8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2683008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BEER-GABEL J., « L’exploitation du fond des mers dans l’intérêt de l’humanité : chimère ou réalité ? 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1977, pp.167-230.</w:t>
      </w:r>
    </w:p>
    <w:p w14:paraId="0AB77D02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GOLDWIN Robert A., « Le droit de la mer : sens commun contre ‘patrimoine commun’ », </w:t>
      </w:r>
      <w:r w:rsidRPr="00AC5520">
        <w:rPr>
          <w:rFonts w:ascii="Garamond" w:eastAsia="Times New Roman" w:hAnsi="Garamond" w:cs="Times New Roman"/>
          <w:i/>
          <w:lang w:eastAsia="fr-FR"/>
        </w:rPr>
        <w:t>Revue Générale de Droit International Public</w:t>
      </w:r>
      <w:r w:rsidRPr="00AC5520">
        <w:rPr>
          <w:rFonts w:ascii="Garamond" w:eastAsia="Times New Roman" w:hAnsi="Garamond" w:cs="Times New Roman"/>
          <w:lang w:eastAsia="fr-FR"/>
        </w:rPr>
        <w:t>, 1985, pp.719-739.</w:t>
      </w:r>
    </w:p>
    <w:p w14:paraId="3C4359EB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</w:p>
    <w:p w14:paraId="7EDD5BF1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Délimitation</w:t>
      </w:r>
    </w:p>
    <w:p w14:paraId="0D1D2903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</w:p>
    <w:p w14:paraId="32BB005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DECAUX Emmanuel, « Affaire de la délimitation maritime dans la région située entre le Groenland et Jan Mayen (Danemark c. Norvège). Arrêt de la C.I.J. du 14 juin 1993 »,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Annuaire français de droit international,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 1993 Volume 39 Numéro 1 pp. 495-513</w:t>
      </w:r>
    </w:p>
    <w:p w14:paraId="4B085EBF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lastRenderedPageBreak/>
        <w:t xml:space="preserve">DECAUX Emmanuel, « Affaire de la délimitation maritime et des questions territoriales entre Qatar et Bahrein, Fond (arrêt du 16 mars 2001 Qatar c. Bahrein) »,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Annuaire français de droit international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2001 Volume 47 Numéro 1 pp. 177-240</w:t>
      </w:r>
    </w:p>
    <w:p w14:paraId="1B27A320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DISTEFANO Giovanni, « La sentence arbitrale du 17 décembre 1999 sur la délimitation des frontières maritimes entre l'Erythrée et le Yémen : quelques observations complémentaires », Annuaire français de droit international, 2000 Volume 46 Numéro 1 pp. 255-284.</w:t>
      </w:r>
    </w:p>
    <w:p w14:paraId="5AA9BF0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NERI Kiara, « L’arrêt de la Cour internationale de Justice du 27 janvier 2014 dans l’affaire du Différend maritime (Pérou c. Chili) »,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Annuaire français de droit international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2014, pp. 91-108.</w:t>
      </w:r>
    </w:p>
    <w:p w14:paraId="3D11E5BA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NOYES John, « 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in re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 arbitration between the Philippines and China ». </w:t>
      </w:r>
      <w:proofErr w:type="gramStart"/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pca</w:t>
      </w:r>
      <w:proofErr w:type="gramEnd"/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 case no. 2013-19. jurisdiction and admissibility. </w:t>
      </w:r>
      <w:proofErr w:type="gramStart"/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at</w:t>
      </w:r>
      <w:proofErr w:type="gramEnd"/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 http://www.pca-cpa.org. un convention on the law of the sea annex vii arbitral tribunal, october 29, 2015,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American Journal of International Law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January, 2016, 110 Am. J. Int'l L. 102</w:t>
      </w:r>
    </w:p>
    <w:p w14:paraId="72A6F246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PELLET Alain, « Roumanie c. Ukraine –  un arrêt refondateur », in B. Aurescu (ed.),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Romania and the International Court of Justice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Ed. Hamangiu, Bucarest, 2014, pp. 31-44.</w:t>
      </w:r>
    </w:p>
    <w:p w14:paraId="09A9623E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color w:val="000000" w:themeColor="text1"/>
        </w:rPr>
      </w:pPr>
      <w:r w:rsidRPr="00AC5520">
        <w:rPr>
          <w:rFonts w:ascii="Garamond" w:hAnsi="Garamond" w:cs="Verdana"/>
          <w:color w:val="000000" w:themeColor="text1"/>
        </w:rPr>
        <w:t xml:space="preserve">QUÉNEUDEC Jean-Pierre, « L’affaire de la délimitation du plateau continental entre la France et le Royaume-Uni », </w:t>
      </w:r>
      <w:r w:rsidRPr="00AC5520">
        <w:rPr>
          <w:rFonts w:ascii="Garamond" w:hAnsi="Garamond" w:cs="Verdana"/>
          <w:i/>
          <w:color w:val="000000" w:themeColor="text1"/>
        </w:rPr>
        <w:t>Revue Générale de Droit International Public</w:t>
      </w:r>
      <w:r w:rsidRPr="00AC5520">
        <w:rPr>
          <w:rFonts w:ascii="Garamond" w:hAnsi="Garamond" w:cs="Verdana"/>
          <w:color w:val="000000" w:themeColor="text1"/>
        </w:rPr>
        <w:t>, 1979, pp.53-103.</w:t>
      </w:r>
    </w:p>
    <w:p w14:paraId="422A8CE9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TOUZE Sébastien, « Les îles volcaniques émergées : règles d'acquisition territoriale et régime de délimitation maritime »,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Annuaire français de droit international,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 2006 Volume 52 Numéro 1 pp. 455-479.</w:t>
      </w:r>
    </w:p>
    <w:p w14:paraId="756C9CCF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color w:val="000000" w:themeColor="text1"/>
          <w:lang w:eastAsia="fr-FR"/>
        </w:rPr>
      </w:pP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 xml:space="preserve">TOUZE Sébastien. « Affaire relative à la Délimitation maritime en mer Noire (Roumanie c. Ukraine) : une clarification didactique de la règle de l’équidistance circonstances pertinentes ». </w:t>
      </w:r>
      <w:r w:rsidRPr="00AC5520">
        <w:rPr>
          <w:rFonts w:ascii="Garamond" w:eastAsia="Times New Roman" w:hAnsi="Garamond" w:cs="Times New Roman"/>
          <w:i/>
          <w:color w:val="000000" w:themeColor="text1"/>
          <w:lang w:eastAsia="fr-FR"/>
        </w:rPr>
        <w:t>Annuaire français de droit international</w:t>
      </w:r>
      <w:r w:rsidRPr="00AC5520">
        <w:rPr>
          <w:rFonts w:ascii="Garamond" w:eastAsia="Times New Roman" w:hAnsi="Garamond" w:cs="Times New Roman"/>
          <w:color w:val="000000" w:themeColor="text1"/>
          <w:lang w:eastAsia="fr-FR"/>
        </w:rPr>
        <w:t>, volume 55, 2009. pp. 221-251.</w:t>
      </w:r>
    </w:p>
    <w:p w14:paraId="62C8AD0E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47A3D5AA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Environnement marin</w:t>
      </w:r>
    </w:p>
    <w:p w14:paraId="7348C3F4" w14:textId="77777777" w:rsidR="00AC5520" w:rsidRPr="00AC5520" w:rsidRDefault="00AC5520" w:rsidP="00AC5520">
      <w:pPr>
        <w:tabs>
          <w:tab w:val="left" w:pos="5954"/>
        </w:tabs>
        <w:jc w:val="both"/>
        <w:rPr>
          <w:rFonts w:ascii="Garamond" w:eastAsia="Times New Roman" w:hAnsi="Garamond" w:cs="Times New Roman"/>
          <w:lang w:eastAsia="fr-FR"/>
        </w:rPr>
      </w:pPr>
    </w:p>
    <w:p w14:paraId="499268BE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ALCAIDE-FERNANDEZ, J. et RUILOBA-GARCIA, E., « Le bon ordre écologique dans la mer territoriale : perspectives du droit international public et du droit communautaire européen », in CASADO RAIGON, R. et CATALDI, G. (dir.), </w:t>
      </w:r>
      <w:r w:rsidRPr="00AC5520">
        <w:rPr>
          <w:rFonts w:ascii="Garamond" w:hAnsi="Garamond" w:cs="Times New Roman"/>
          <w:i/>
        </w:rPr>
        <w:t>L’évolution et l’état actuel de droit international de la mer, Mélanges droit de la mer offerts à Daniel Vignes</w:t>
      </w:r>
      <w:r w:rsidRPr="00AC5520">
        <w:rPr>
          <w:rFonts w:ascii="Garamond" w:hAnsi="Garamond" w:cs="Times New Roman"/>
        </w:rPr>
        <w:t>, Bruxelles, Bruylant, 2009, pp. 1-38.</w:t>
      </w:r>
    </w:p>
    <w:p w14:paraId="10C919AB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ASSEMBONI OGUNJIMIA, A., « Le contentieux de l’environnement marin devant le Tribunal international du droit de la mer », </w:t>
      </w:r>
      <w:r w:rsidRPr="00AC5520">
        <w:rPr>
          <w:rFonts w:ascii="Garamond" w:hAnsi="Garamond" w:cs="Times New Roman"/>
          <w:i/>
        </w:rPr>
        <w:t>Revue européenne de droit de l’environnement</w:t>
      </w:r>
      <w:r w:rsidRPr="00AC5520">
        <w:rPr>
          <w:rFonts w:ascii="Garamond" w:hAnsi="Garamond" w:cs="Times New Roman"/>
        </w:rPr>
        <w:t>, 2004, pp. 255-665.</w:t>
      </w:r>
    </w:p>
    <w:p w14:paraId="0DEA6408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BESELIER, S., « Pêche et environnement : complémentarité ou concurrence au sein de l’ordre juridique international ? Le cas du thon rouge », </w:t>
      </w:r>
      <w:r w:rsidRPr="00AC5520">
        <w:rPr>
          <w:rFonts w:ascii="Garamond" w:hAnsi="Garamond" w:cs="Times New Roman"/>
          <w:i/>
        </w:rPr>
        <w:t>Annuaire du droit de la mer</w:t>
      </w:r>
      <w:r w:rsidRPr="00AC5520">
        <w:rPr>
          <w:rFonts w:ascii="Garamond" w:hAnsi="Garamond" w:cs="Times New Roman"/>
        </w:rPr>
        <w:t>, 2010, t. XV, pp. 165-175.</w:t>
      </w:r>
    </w:p>
    <w:p w14:paraId="740C2F24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CHABASON, L., « L’exploitation pétrolière offshore : une nouvelle frontière pour le droit international de l’environnement », Annuaire du droit de la mer, 2010, t. XV, pp. 121-129.</w:t>
      </w:r>
    </w:p>
    <w:p w14:paraId="127966AD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CHABOUD Christian et GALLETTI Florence, « Les aires marines protégées, catégorie</w:t>
      </w:r>
    </w:p>
    <w:p w14:paraId="5664B238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proofErr w:type="gramStart"/>
      <w:r w:rsidRPr="00AC5520">
        <w:rPr>
          <w:rFonts w:ascii="Garamond" w:hAnsi="Garamond" w:cs="Times New Roman"/>
        </w:rPr>
        <w:t>particulière</w:t>
      </w:r>
      <w:proofErr w:type="gramEnd"/>
      <w:r w:rsidRPr="00AC5520">
        <w:rPr>
          <w:rFonts w:ascii="Garamond" w:hAnsi="Garamond" w:cs="Times New Roman"/>
        </w:rPr>
        <w:t xml:space="preserve"> pour le droit et l’économie », </w:t>
      </w:r>
      <w:r w:rsidRPr="00AC5520">
        <w:rPr>
          <w:rFonts w:ascii="Garamond" w:hAnsi="Garamond" w:cs="Times New Roman"/>
          <w:i/>
        </w:rPr>
        <w:t>Mondes en Développement,</w:t>
      </w:r>
      <w:r w:rsidRPr="00AC5520">
        <w:rPr>
          <w:rFonts w:ascii="Garamond" w:hAnsi="Garamond" w:cs="Times New Roman"/>
        </w:rPr>
        <w:t xml:space="preserve"> Vol.35-2007/2-n° 138, pp. 27-42. </w:t>
      </w:r>
    </w:p>
    <w:p w14:paraId="7015F119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COUTANSAIS C.P., « Les ressources génétiques marines et le protocole de Nagoya : vers un cadre juridique équilibré ? », </w:t>
      </w:r>
      <w:r w:rsidRPr="00AC5520">
        <w:rPr>
          <w:rFonts w:ascii="Garamond" w:hAnsi="Garamond" w:cs="Times New Roman"/>
          <w:i/>
        </w:rPr>
        <w:t>Annuaire du droit de la mer</w:t>
      </w:r>
      <w:r w:rsidRPr="00AC5520">
        <w:rPr>
          <w:rFonts w:ascii="Garamond" w:hAnsi="Garamond" w:cs="Times New Roman"/>
        </w:rPr>
        <w:t>, 2010, t. XV, pp. 207-215.</w:t>
      </w:r>
    </w:p>
    <w:p w14:paraId="14CF355C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DAUDET, Y., « Régionalisme maritime comparé », in IMPERIALI, C. et WITZTHUM, W.G., </w:t>
      </w:r>
      <w:r w:rsidRPr="00AC5520">
        <w:rPr>
          <w:rFonts w:ascii="Garamond" w:hAnsi="Garamond" w:cs="Times New Roman"/>
          <w:i/>
        </w:rPr>
        <w:t>La protection régionale de l’environnement marin</w:t>
      </w:r>
      <w:r w:rsidRPr="00AC5520">
        <w:rPr>
          <w:rFonts w:ascii="Garamond" w:hAnsi="Garamond" w:cs="Times New Roman"/>
        </w:rPr>
        <w:t>, l’approche européenne, Paris, Economica, 1992, pp. 29-35.</w:t>
      </w:r>
    </w:p>
    <w:p w14:paraId="6C3EC5D6" w14:textId="77777777" w:rsidR="00AC5520" w:rsidRPr="00AC5520" w:rsidRDefault="00AC5520" w:rsidP="00AC5520">
      <w:pPr>
        <w:tabs>
          <w:tab w:val="left" w:pos="5954"/>
        </w:tabs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DEJEANT-PONS Maguelonne. Les conventions du Programme des Nations Unies pour l'environnement relatives aux mers régionales. In: </w:t>
      </w:r>
      <w:r w:rsidRPr="00AC5520">
        <w:rPr>
          <w:rFonts w:ascii="Garamond" w:eastAsia="Times New Roman" w:hAnsi="Garamond" w:cs="Times New Roman"/>
          <w:i/>
          <w:lang w:eastAsia="fr-FR"/>
        </w:rPr>
        <w:t>Annuaire franc</w:t>
      </w:r>
      <w:r w:rsidRPr="00AC5520">
        <w:rPr>
          <w:rFonts w:ascii="Calibri" w:eastAsia="Calibri" w:hAnsi="Calibri" w:cs="Calibri"/>
          <w:i/>
          <w:lang w:eastAsia="fr-FR"/>
        </w:rPr>
        <w:t>̧</w:t>
      </w:r>
      <w:r w:rsidRPr="00AC5520">
        <w:rPr>
          <w:rFonts w:ascii="Garamond" w:eastAsia="Times New Roman" w:hAnsi="Garamond" w:cs="Times New Roman"/>
          <w:i/>
          <w:lang w:eastAsia="fr-FR"/>
        </w:rPr>
        <w:t>ais de droit international</w:t>
      </w:r>
      <w:r w:rsidRPr="00AC5520">
        <w:rPr>
          <w:rFonts w:ascii="Garamond" w:eastAsia="Times New Roman" w:hAnsi="Garamond" w:cs="Times New Roman"/>
          <w:lang w:eastAsia="fr-FR"/>
        </w:rPr>
        <w:t xml:space="preserve">, volume 33, 1987. pp. 689-718 </w:t>
      </w:r>
    </w:p>
    <w:p w14:paraId="3F38A485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DEJEANT-PONS, M., « Les Conventions du Programme des Nations unies pour l’environnement relatives aux mers régionales », A.F.D.I., 1987, pp. 689-718.</w:t>
      </w:r>
    </w:p>
    <w:p w14:paraId="7B0C4CDE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DELFOUR-SAMAMA Odile, « Les aires marines protégées, outil de conservation de la biodiversité en haute mer », </w:t>
      </w:r>
      <w:r w:rsidRPr="00AC5520">
        <w:rPr>
          <w:rFonts w:ascii="Garamond" w:hAnsi="Garamond" w:cs="Times New Roman"/>
          <w:i/>
        </w:rPr>
        <w:t>Neptunus, revue électronique</w:t>
      </w:r>
      <w:r w:rsidRPr="00AC5520">
        <w:rPr>
          <w:rFonts w:ascii="Garamond" w:hAnsi="Garamond" w:cs="Times New Roman"/>
        </w:rPr>
        <w:t xml:space="preserve">, Centre de Droit Maritime et Océanique, Université de Nantes, Vol. 19, 2013/1 </w:t>
      </w:r>
      <w:hyperlink r:id="rId7" w:history="1">
        <w:r w:rsidRPr="00AC5520">
          <w:rPr>
            <w:rFonts w:ascii="Garamond" w:hAnsi="Garamond" w:cs="Times New Roman"/>
            <w:color w:val="0563C1" w:themeColor="hyperlink"/>
            <w:u w:val="single"/>
          </w:rPr>
          <w:t>http://www.cdmo.univ-nantes.fr</w:t>
        </w:r>
      </w:hyperlink>
      <w:r w:rsidRPr="00AC5520">
        <w:rPr>
          <w:rFonts w:ascii="Garamond" w:hAnsi="Garamond" w:cs="Times New Roman"/>
        </w:rPr>
        <w:t xml:space="preserve"> </w:t>
      </w:r>
    </w:p>
    <w:p w14:paraId="21EDD696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DOUAY, C., « Le droit de la mer et la préservation du milieu marin », R.G.D.I.P., 1908, pp. 178-</w:t>
      </w:r>
      <w:r w:rsidRPr="00AC5520">
        <w:rPr>
          <w:rFonts w:ascii="Garamond" w:hAnsi="Garamond" w:cs="Times New Roman"/>
        </w:rPr>
        <w:lastRenderedPageBreak/>
        <w:t>215.</w:t>
      </w:r>
    </w:p>
    <w:p w14:paraId="3C4E0EBC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DOUMBÉ-BILLÉ, S., « Régionalisme et universalisme dans la protection du droit de l’environnement », S.F.D.I., Le droit international face aux enjeux environnementaux, Paris, Pedone, 2010, pp. 39-60.</w:t>
      </w:r>
    </w:p>
    <w:p w14:paraId="19981EC3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DUPUY, P.-M., « Chapter 22: The Preservation of th Marine Environment », in DUPUY, R.-J. et VIGNES, D., A Handbook on the New Law of the Sea, Académie de droit international, Dordrecht, Boston, Lancaster, Martinus Nijhoff, 1991, t.2, pp. 1150-1232.</w:t>
      </w:r>
    </w:p>
    <w:p w14:paraId="7BE0D7DB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FRANCKX, E., « Exclusive Economic Zone, State Practice and the Protection of the Marine Environment », in FRANCKX, </w:t>
      </w:r>
    </w:p>
    <w:p w14:paraId="7BC5F586" w14:textId="77777777" w:rsidR="00AC5520" w:rsidRPr="00AC5520" w:rsidRDefault="00AC5520" w:rsidP="00AC5520">
      <w:pPr>
        <w:tabs>
          <w:tab w:val="left" w:pos="5954"/>
        </w:tabs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>FROZEL BARROS Natalia et RICARD Pascale, « Analyse d’un compromis : le lancement des n</w:t>
      </w:r>
      <w:r w:rsidRPr="00AC5520">
        <w:rPr>
          <w:rFonts w:ascii="Garamond" w:eastAsia="Calibri" w:hAnsi="Garamond" w:cs="Calibri"/>
          <w:lang w:eastAsia="fr-FR"/>
        </w:rPr>
        <w:t>é</w:t>
      </w:r>
      <w:r w:rsidRPr="00AC5520">
        <w:rPr>
          <w:rFonts w:ascii="Garamond" w:eastAsia="Times New Roman" w:hAnsi="Garamond" w:cs="Times New Roman"/>
          <w:lang w:eastAsia="fr-FR"/>
        </w:rPr>
        <w:t>gociations pour un accord de mise en œuvre de la CNUDM sur la biodiversit</w:t>
      </w:r>
      <w:r w:rsidRPr="00AC5520">
        <w:rPr>
          <w:rFonts w:ascii="Garamond" w:eastAsia="Calibri" w:hAnsi="Garamond" w:cs="Calibri"/>
          <w:lang w:eastAsia="fr-FR"/>
        </w:rPr>
        <w:t>é</w:t>
      </w:r>
      <w:r w:rsidRPr="00AC5520">
        <w:rPr>
          <w:rFonts w:ascii="Garamond" w:eastAsia="Times New Roman" w:hAnsi="Garamond" w:cs="Times New Roman"/>
          <w:lang w:eastAsia="fr-FR"/>
        </w:rPr>
        <w:t xml:space="preserve"> marine au-del</w:t>
      </w:r>
      <w:r w:rsidRPr="00AC5520">
        <w:rPr>
          <w:rFonts w:ascii="Garamond" w:eastAsia="Calibri" w:hAnsi="Garamond" w:cs="Calibri"/>
          <w:lang w:eastAsia="fr-FR"/>
        </w:rPr>
        <w:t>à</w:t>
      </w:r>
      <w:r w:rsidRPr="00AC5520">
        <w:rPr>
          <w:rFonts w:ascii="Garamond" w:eastAsia="Times New Roman" w:hAnsi="Garamond" w:cs="Times New Roman"/>
          <w:lang w:eastAsia="fr-FR"/>
        </w:rPr>
        <w:t xml:space="preserve"> des limites de la juridiction nationale », </w:t>
      </w:r>
      <w:r w:rsidRPr="00AC5520">
        <w:rPr>
          <w:rFonts w:ascii="Garamond" w:eastAsia="Times New Roman" w:hAnsi="Garamond" w:cs="Times New Roman"/>
          <w:i/>
          <w:lang w:eastAsia="fr-FR"/>
        </w:rPr>
        <w:t>Annuaire du droit de la mer</w:t>
      </w:r>
      <w:r w:rsidRPr="00AC5520">
        <w:rPr>
          <w:rFonts w:ascii="Garamond" w:eastAsia="Times New Roman" w:hAnsi="Garamond" w:cs="Times New Roman"/>
          <w:lang w:eastAsia="fr-FR"/>
        </w:rPr>
        <w:t>, tome 19, 2014, pp. 197 et s.</w:t>
      </w:r>
    </w:p>
    <w:p w14:paraId="74691761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GRAF VITZTHUM, W., « Droit de l’environnement marin et régionalisme », in La protection régionale de l’environnement marin, l’approche européenne, Paris, Economica, 1992, pp. 11-15</w:t>
      </w:r>
    </w:p>
    <w:p w14:paraId="7EB2CE42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IMPERIALI, C., « L’adaptation aux particularités des mers régionales européennes », in IMPERIALI, C. et WITZTHUM, W.G., La protection régionale de l’environnement marin, l’approche européenne, Paris, Economica, 1992, pp. 17-28.</w:t>
      </w:r>
    </w:p>
    <w:p w14:paraId="2C9FBB14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LUCCHINI, L., « La lutte contre la pollution des mers : évolution ou révolution de droit international », A.F.D.I., 1978, pp. 721-754.</w:t>
      </w:r>
    </w:p>
    <w:p w14:paraId="06D8C6E9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MARFFY-MANTUANO, A., « Gouvernance internationale de la biodiversité marine dans une perspective de développement durable », Annuaire du droit de la mer, 2010, t. XV,</w:t>
      </w:r>
    </w:p>
    <w:p w14:paraId="4553878D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MOMTAZ, D., « La convention cadre de Téhéran sur la protection de l’environnement de la mer Caspienne », </w:t>
      </w:r>
      <w:r w:rsidRPr="00AC5520">
        <w:rPr>
          <w:rFonts w:ascii="Garamond" w:hAnsi="Garamond" w:cs="Times New Roman"/>
          <w:i/>
        </w:rPr>
        <w:t>A.F.D.I</w:t>
      </w:r>
      <w:r w:rsidRPr="00AC5520">
        <w:rPr>
          <w:rFonts w:ascii="Garamond" w:hAnsi="Garamond" w:cs="Times New Roman"/>
        </w:rPr>
        <w:t>., 2005, pp. 401-410.</w:t>
      </w:r>
    </w:p>
    <w:p w14:paraId="3083FAD3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ODIER, F., « L’Organisation maritime internationale face au défi des gaz à effet de serre », </w:t>
      </w:r>
      <w:r w:rsidRPr="00AC5520">
        <w:rPr>
          <w:rFonts w:ascii="Garamond" w:hAnsi="Garamond" w:cs="Times New Roman"/>
          <w:i/>
        </w:rPr>
        <w:t>Annuaire du droit de la mer</w:t>
      </w:r>
      <w:r w:rsidRPr="00AC5520">
        <w:rPr>
          <w:rFonts w:ascii="Garamond" w:hAnsi="Garamond" w:cs="Times New Roman"/>
        </w:rPr>
        <w:t>, 2010, t. XV, pp. 217-223.</w:t>
      </w:r>
    </w:p>
    <w:p w14:paraId="523A38E2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>pp. 177-205.</w:t>
      </w:r>
    </w:p>
    <w:p w14:paraId="1EA513D7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QUÉNEUDEC, J.-P., « L’incidence de l’affaire du Torrey Canyon sur le droit de la mer », </w:t>
      </w:r>
      <w:r w:rsidRPr="00AC5520">
        <w:rPr>
          <w:rFonts w:ascii="Garamond" w:hAnsi="Garamond" w:cs="Times New Roman"/>
          <w:i/>
        </w:rPr>
        <w:t>A.F.D.I</w:t>
      </w:r>
      <w:r w:rsidRPr="00AC5520">
        <w:rPr>
          <w:rFonts w:ascii="Garamond" w:hAnsi="Garamond" w:cs="Times New Roman"/>
        </w:rPr>
        <w:t>., 1968, pp. 701-718.</w:t>
      </w:r>
    </w:p>
    <w:p w14:paraId="3DF6DB80" w14:textId="77777777" w:rsidR="00AC5520" w:rsidRPr="00AC5520" w:rsidRDefault="00AC5520" w:rsidP="00AC5520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</w:rPr>
      </w:pPr>
      <w:r w:rsidRPr="00AC5520">
        <w:rPr>
          <w:rFonts w:ascii="Garamond" w:hAnsi="Garamond" w:cs="Times New Roman"/>
        </w:rPr>
        <w:t xml:space="preserve">ROS, N., « CICTA 2010 : la dialectique de la compétence et de l’irresponsabilité », </w:t>
      </w:r>
      <w:r w:rsidRPr="00AC5520">
        <w:rPr>
          <w:rFonts w:ascii="Garamond" w:hAnsi="Garamond" w:cs="Times New Roman"/>
          <w:i/>
        </w:rPr>
        <w:t>Annuaire du droit de la mer</w:t>
      </w:r>
      <w:r w:rsidRPr="00AC5520">
        <w:rPr>
          <w:rFonts w:ascii="Garamond" w:hAnsi="Garamond" w:cs="Times New Roman"/>
        </w:rPr>
        <w:t>, 2010, t. XV, pp. 131-163.</w:t>
      </w:r>
    </w:p>
    <w:p w14:paraId="424F8069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</w:p>
    <w:p w14:paraId="7EFE1DD9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  <w:r w:rsidRPr="00AC5520">
        <w:rPr>
          <w:rFonts w:ascii="Garamond" w:eastAsia="Times New Roman" w:hAnsi="Garamond" w:cs="Times New Roman"/>
          <w:b/>
          <w:lang w:eastAsia="fr-FR"/>
        </w:rPr>
        <w:t>Sauvetage en mer</w:t>
      </w:r>
    </w:p>
    <w:p w14:paraId="75CC08A3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b/>
          <w:lang w:eastAsia="fr-FR"/>
        </w:rPr>
      </w:pPr>
    </w:p>
    <w:p w14:paraId="2F744A54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BOTTINI, E., « Immigration illégale et secours en mer : analyse d’un conflit juridique », </w:t>
      </w:r>
      <w:r w:rsidRPr="00AC5520">
        <w:rPr>
          <w:rFonts w:ascii="Garamond" w:eastAsia="Times New Roman" w:hAnsi="Garamond" w:cs="Times New Roman"/>
          <w:i/>
          <w:lang w:eastAsia="fr-FR"/>
        </w:rPr>
        <w:t>Annuaire du droit de la mer</w:t>
      </w:r>
      <w:r w:rsidRPr="00AC5520">
        <w:rPr>
          <w:rFonts w:ascii="Garamond" w:eastAsia="Times New Roman" w:hAnsi="Garamond" w:cs="Times New Roman"/>
          <w:lang w:eastAsia="fr-FR"/>
        </w:rPr>
        <w:t>, 2010, t. XV, pp. 249-263.</w:t>
      </w:r>
    </w:p>
    <w:p w14:paraId="1B544EC3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NERI K., « Le droit international face aux nouveaux défis de l’immigration clandestine en mer », </w:t>
      </w:r>
      <w:r w:rsidRPr="00AC5520">
        <w:rPr>
          <w:rFonts w:ascii="Garamond" w:eastAsia="Times New Roman" w:hAnsi="Garamond" w:cs="Times New Roman"/>
          <w:i/>
          <w:lang w:eastAsia="fr-FR"/>
        </w:rPr>
        <w:t>Revue québécoise de droit international</w:t>
      </w:r>
      <w:r w:rsidRPr="00AC5520">
        <w:rPr>
          <w:rFonts w:ascii="Garamond" w:eastAsia="Times New Roman" w:hAnsi="Garamond" w:cs="Times New Roman"/>
          <w:lang w:eastAsia="fr-FR"/>
        </w:rPr>
        <w:t>, 2013 (26-1), pp. 123-153.</w:t>
      </w:r>
    </w:p>
    <w:p w14:paraId="0C5E44F1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PAPASTAVRIDIS E., « Is there a right to be rescued at sea? A skeptical view », </w:t>
      </w:r>
      <w:r w:rsidRPr="00AC5520">
        <w:rPr>
          <w:rFonts w:ascii="Garamond" w:eastAsia="Times New Roman" w:hAnsi="Garamond" w:cs="Times New Roman"/>
          <w:i/>
          <w:lang w:eastAsia="fr-FR"/>
        </w:rPr>
        <w:t xml:space="preserve">QIL, </w:t>
      </w:r>
      <w:r w:rsidRPr="00AC5520">
        <w:rPr>
          <w:rFonts w:ascii="Garamond" w:eastAsia="Times New Roman" w:hAnsi="Garamond" w:cs="Times New Roman"/>
          <w:lang w:eastAsia="fr-FR"/>
        </w:rPr>
        <w:t>2014, pp. 17-32.</w:t>
      </w:r>
    </w:p>
    <w:p w14:paraId="17878A93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TREVISANUT S., « Is there a right to be rescued at sea? A constructive view », </w:t>
      </w:r>
      <w:r w:rsidRPr="00AC5520">
        <w:rPr>
          <w:rFonts w:ascii="Garamond" w:eastAsia="Times New Roman" w:hAnsi="Garamond" w:cs="Times New Roman"/>
          <w:i/>
          <w:lang w:eastAsia="fr-FR"/>
        </w:rPr>
        <w:t>QIL</w:t>
      </w:r>
      <w:r w:rsidRPr="00AC5520">
        <w:rPr>
          <w:rFonts w:ascii="Garamond" w:eastAsia="Times New Roman" w:hAnsi="Garamond" w:cs="Times New Roman"/>
          <w:lang w:eastAsia="fr-FR"/>
        </w:rPr>
        <w:t>, 4 2014, pp. 3-15.</w:t>
      </w:r>
    </w:p>
    <w:p w14:paraId="45DBE5A5" w14:textId="77777777" w:rsidR="00AC5520" w:rsidRPr="00AC5520" w:rsidRDefault="00AC5520" w:rsidP="00AC5520">
      <w:pPr>
        <w:jc w:val="both"/>
        <w:rPr>
          <w:rFonts w:ascii="Garamond" w:eastAsia="Times New Roman" w:hAnsi="Garamond" w:cs="Times New Roman"/>
          <w:lang w:eastAsia="fr-FR"/>
        </w:rPr>
      </w:pPr>
      <w:r w:rsidRPr="00AC5520">
        <w:rPr>
          <w:rFonts w:ascii="Garamond" w:eastAsia="Times New Roman" w:hAnsi="Garamond" w:cs="Times New Roman"/>
          <w:lang w:eastAsia="fr-FR"/>
        </w:rPr>
        <w:t xml:space="preserve">MIGAZZI C., « L’obligation d’assistance en mer et la pratique du Conseil de sécurité », in NERI K., </w:t>
      </w:r>
      <w:r w:rsidRPr="00AC5520">
        <w:rPr>
          <w:rFonts w:ascii="Garamond" w:eastAsia="Times New Roman" w:hAnsi="Garamond" w:cs="Times New Roman"/>
          <w:i/>
          <w:lang w:eastAsia="fr-FR"/>
        </w:rPr>
        <w:t>Le Conseil de sécurité des Nations Unies et la mer</w:t>
      </w:r>
      <w:r w:rsidRPr="00AC5520">
        <w:rPr>
          <w:rFonts w:ascii="Garamond" w:eastAsia="Times New Roman" w:hAnsi="Garamond" w:cs="Times New Roman"/>
          <w:lang w:eastAsia="fr-FR"/>
        </w:rPr>
        <w:t>, L’Editoriale Scientifica, 2018, pp. 255-271.</w:t>
      </w:r>
    </w:p>
    <w:p w14:paraId="2005C648" w14:textId="77777777" w:rsidR="00637EC6" w:rsidRDefault="00637EC6" w:rsidP="00AC5520">
      <w:pPr>
        <w:jc w:val="both"/>
      </w:pPr>
    </w:p>
    <w:sectPr w:rsidR="00637EC6" w:rsidSect="000A17DB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8084B" w14:textId="77777777" w:rsidR="006326CC" w:rsidRDefault="006326CC">
      <w:r>
        <w:separator/>
      </w:r>
    </w:p>
  </w:endnote>
  <w:endnote w:type="continuationSeparator" w:id="0">
    <w:p w14:paraId="5CB60E6D" w14:textId="77777777" w:rsidR="006326CC" w:rsidRDefault="0063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CBACB" w14:textId="77777777" w:rsidR="006326CC" w:rsidRDefault="006326CC">
      <w:r>
        <w:separator/>
      </w:r>
    </w:p>
  </w:footnote>
  <w:footnote w:type="continuationSeparator" w:id="0">
    <w:p w14:paraId="0AC58A4A" w14:textId="77777777" w:rsidR="006326CC" w:rsidRDefault="0063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73B5" w14:textId="77777777" w:rsidR="001343B6" w:rsidRDefault="006326CC">
    <w:pPr>
      <w:pStyle w:val="En-tte"/>
    </w:pPr>
  </w:p>
  <w:p w14:paraId="430EB787" w14:textId="77777777" w:rsidR="001343B6" w:rsidRDefault="006326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2686E"/>
    <w:multiLevelType w:val="hybridMultilevel"/>
    <w:tmpl w:val="944A5BB6"/>
    <w:lvl w:ilvl="0" w:tplc="06842F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4542"/>
    <w:multiLevelType w:val="hybridMultilevel"/>
    <w:tmpl w:val="E2C64B10"/>
    <w:lvl w:ilvl="0" w:tplc="B008A5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20"/>
    <w:rsid w:val="002A1D4B"/>
    <w:rsid w:val="00486CE3"/>
    <w:rsid w:val="006326CC"/>
    <w:rsid w:val="00637EC6"/>
    <w:rsid w:val="00651FE8"/>
    <w:rsid w:val="00875CE1"/>
    <w:rsid w:val="008D6124"/>
    <w:rsid w:val="00AC5520"/>
    <w:rsid w:val="00BC127C"/>
    <w:rsid w:val="00B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E725"/>
  <w15:docId w15:val="{0A2BC8C2-FFF2-44B2-AC16-C99F69BF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5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mo.univ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1979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Marie Allémoniere</cp:lastModifiedBy>
  <cp:revision>3</cp:revision>
  <dcterms:created xsi:type="dcterms:W3CDTF">2020-12-16T14:16:00Z</dcterms:created>
  <dcterms:modified xsi:type="dcterms:W3CDTF">2020-12-16T14:16:00Z</dcterms:modified>
</cp:coreProperties>
</file>