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EDA3A" w14:textId="24F6BF62" w:rsidR="009235A6" w:rsidRPr="004E4E61" w:rsidRDefault="001343B6" w:rsidP="009235A6">
      <w:pPr>
        <w:jc w:val="center"/>
        <w:rPr>
          <w:rFonts w:ascii="Garamond" w:hAnsi="Garamond"/>
          <w:b/>
          <w:i/>
          <w:sz w:val="32"/>
          <w:szCs w:val="32"/>
        </w:rPr>
      </w:pPr>
      <w:r w:rsidRPr="004E4E61">
        <w:rPr>
          <w:rFonts w:ascii="Garamond" w:hAnsi="Garamond"/>
          <w:b/>
          <w:i/>
          <w:sz w:val="32"/>
          <w:szCs w:val="32"/>
        </w:rPr>
        <w:t>SYLLABUS</w:t>
      </w:r>
    </w:p>
    <w:p w14:paraId="2918E40D" w14:textId="77777777" w:rsidR="009235A6" w:rsidRPr="004E4E61" w:rsidRDefault="009235A6" w:rsidP="009235A6">
      <w:pPr>
        <w:jc w:val="center"/>
        <w:rPr>
          <w:rFonts w:ascii="Garamond" w:hAnsi="Garamond"/>
          <w:b/>
          <w:i/>
        </w:rPr>
      </w:pPr>
    </w:p>
    <w:p w14:paraId="52F865C3" w14:textId="05EAEED0" w:rsidR="004E4E61" w:rsidRPr="004E4E61" w:rsidRDefault="009235A6" w:rsidP="0092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4E4E61">
        <w:rPr>
          <w:rFonts w:ascii="Garamond" w:hAnsi="Garamond"/>
        </w:rPr>
        <w:t xml:space="preserve">INTITULÉ DU MASTER : </w:t>
      </w:r>
      <w:r w:rsidR="00B51FE2">
        <w:rPr>
          <w:rFonts w:ascii="Garamond" w:hAnsi="Garamond"/>
        </w:rPr>
        <w:t>Master 2-Droit international public</w:t>
      </w:r>
      <w:r w:rsidR="00B51FE2">
        <w:rPr>
          <w:rFonts w:ascii="Garamond" w:hAnsi="Garamond"/>
        </w:rPr>
        <w:tab/>
      </w:r>
      <w:r w:rsidR="00B51FE2">
        <w:rPr>
          <w:rFonts w:ascii="Garamond" w:hAnsi="Garamond"/>
        </w:rPr>
        <w:tab/>
      </w:r>
      <w:r w:rsidR="00B51FE2">
        <w:rPr>
          <w:rFonts w:ascii="Garamond" w:hAnsi="Garamond"/>
        </w:rPr>
        <w:tab/>
      </w:r>
    </w:p>
    <w:p w14:paraId="5B20D0C9" w14:textId="20D866F3" w:rsidR="004E4E61" w:rsidRPr="004E4E61" w:rsidRDefault="004E4E61" w:rsidP="0092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4E4E61">
        <w:rPr>
          <w:rFonts w:ascii="Garamond" w:hAnsi="Garamond"/>
        </w:rPr>
        <w:t>INTITULÉ DU COURS :</w:t>
      </w:r>
      <w:r w:rsidR="00B51FE2">
        <w:rPr>
          <w:rFonts w:ascii="Garamond" w:hAnsi="Garamond"/>
        </w:rPr>
        <w:t xml:space="preserve"> Responsabilité internationale</w:t>
      </w:r>
    </w:p>
    <w:p w14:paraId="545F209C" w14:textId="28F23366" w:rsidR="004E4E61" w:rsidRPr="004E4E61" w:rsidRDefault="004E4E61" w:rsidP="00923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4E4E61">
        <w:rPr>
          <w:rFonts w:ascii="Garamond" w:hAnsi="Garamond"/>
        </w:rPr>
        <w:t xml:space="preserve">SEMESTRE : </w:t>
      </w:r>
      <w:r w:rsidR="00B51FE2">
        <w:rPr>
          <w:rFonts w:ascii="Garamond" w:hAnsi="Garamond"/>
        </w:rPr>
        <w:t>Semestre 1</w:t>
      </w:r>
    </w:p>
    <w:p w14:paraId="466B5210" w14:textId="77777777" w:rsidR="002F1418" w:rsidRPr="004E4E61" w:rsidRDefault="002F1418" w:rsidP="001343B6">
      <w:pPr>
        <w:jc w:val="both"/>
        <w:rPr>
          <w:rFonts w:ascii="Garamond" w:hAnsi="Garamond"/>
        </w:rPr>
      </w:pPr>
    </w:p>
    <w:p w14:paraId="7D9038B3" w14:textId="77777777" w:rsidR="002F1418" w:rsidRPr="004E4E61" w:rsidRDefault="002F1418" w:rsidP="001343B6">
      <w:pPr>
        <w:jc w:val="both"/>
        <w:rPr>
          <w:rFonts w:ascii="Garamond" w:hAnsi="Garamond"/>
        </w:rPr>
      </w:pPr>
    </w:p>
    <w:p w14:paraId="5AD823F7" w14:textId="12D150EA" w:rsidR="002F1418" w:rsidRPr="004E4E61" w:rsidRDefault="002F1418" w:rsidP="001343B6">
      <w:pPr>
        <w:pBdr>
          <w:bottom w:val="single" w:sz="6" w:space="1" w:color="auto"/>
        </w:pBdr>
        <w:jc w:val="both"/>
        <w:rPr>
          <w:rFonts w:ascii="Garamond" w:hAnsi="Garamond"/>
          <w:b/>
        </w:rPr>
      </w:pPr>
      <w:r w:rsidRPr="004E4E61">
        <w:rPr>
          <w:rFonts w:ascii="Garamond" w:hAnsi="Garamond"/>
          <w:b/>
        </w:rPr>
        <w:t>Plan du cours</w:t>
      </w:r>
    </w:p>
    <w:p w14:paraId="0319CE45" w14:textId="77777777" w:rsidR="002F1418" w:rsidRPr="004E4E61" w:rsidRDefault="002F1418" w:rsidP="001343B6">
      <w:pPr>
        <w:jc w:val="both"/>
        <w:rPr>
          <w:rFonts w:ascii="Garamond" w:hAnsi="Garamond"/>
        </w:rPr>
      </w:pPr>
    </w:p>
    <w:p w14:paraId="755CCB7B" w14:textId="77777777" w:rsidR="005A636F" w:rsidRPr="003C736A" w:rsidRDefault="005A636F" w:rsidP="005A636F">
      <w:pPr>
        <w:jc w:val="center"/>
        <w:rPr>
          <w:rFonts w:ascii="Garamond" w:hAnsi="Garamond"/>
          <w:b/>
          <w:u w:val="single"/>
        </w:rPr>
      </w:pPr>
      <w:r w:rsidRPr="003C736A">
        <w:rPr>
          <w:rFonts w:ascii="Garamond" w:hAnsi="Garamond"/>
          <w:b/>
          <w:u w:val="single"/>
        </w:rPr>
        <w:t>La responsabilité internationale</w:t>
      </w:r>
    </w:p>
    <w:p w14:paraId="03F719BC" w14:textId="77777777" w:rsidR="005A636F" w:rsidRPr="003C736A" w:rsidRDefault="005A636F" w:rsidP="005A636F">
      <w:pPr>
        <w:rPr>
          <w:rFonts w:ascii="Garamond" w:hAnsi="Garamond"/>
          <w:b/>
          <w:u w:val="single"/>
        </w:rPr>
      </w:pPr>
    </w:p>
    <w:p w14:paraId="39A2F213" w14:textId="77777777" w:rsidR="005A636F" w:rsidRDefault="005A636F" w:rsidP="005A636F">
      <w:pPr>
        <w:jc w:val="center"/>
        <w:rPr>
          <w:rFonts w:ascii="Garamond" w:hAnsi="Garamond"/>
          <w:b/>
          <w:u w:val="single"/>
        </w:rPr>
      </w:pPr>
      <w:r w:rsidRPr="003C736A">
        <w:rPr>
          <w:rFonts w:ascii="Garamond" w:hAnsi="Garamond"/>
          <w:b/>
          <w:u w:val="single"/>
        </w:rPr>
        <w:t>PARTIE I. La responsabilité des Etats</w:t>
      </w:r>
    </w:p>
    <w:p w14:paraId="61500645" w14:textId="77777777" w:rsidR="005A636F" w:rsidRPr="003C736A" w:rsidRDefault="005A636F" w:rsidP="005A636F">
      <w:pPr>
        <w:jc w:val="center"/>
        <w:rPr>
          <w:rFonts w:ascii="Garamond" w:hAnsi="Garamond"/>
          <w:b/>
          <w:color w:val="00B050"/>
          <w:u w:val="single"/>
        </w:rPr>
      </w:pPr>
    </w:p>
    <w:p w14:paraId="560D6C2B" w14:textId="77777777" w:rsidR="005A636F" w:rsidRPr="003C736A" w:rsidRDefault="005A636F" w:rsidP="005A636F">
      <w:pPr>
        <w:rPr>
          <w:rFonts w:ascii="Garamond" w:hAnsi="Garamond"/>
          <w:b/>
        </w:rPr>
      </w:pPr>
      <w:r w:rsidRPr="003C736A">
        <w:rPr>
          <w:rFonts w:ascii="Garamond" w:hAnsi="Garamond"/>
          <w:b/>
        </w:rPr>
        <w:t xml:space="preserve">I : Les conditions d’établissement de la responsabilité des Etats </w:t>
      </w:r>
    </w:p>
    <w:p w14:paraId="5BFB8510" w14:textId="77777777" w:rsidR="005A636F" w:rsidRPr="003C736A" w:rsidRDefault="005A636F" w:rsidP="005A636F">
      <w:pPr>
        <w:ind w:left="708"/>
        <w:rPr>
          <w:rFonts w:ascii="Garamond" w:hAnsi="Garamond"/>
          <w:b/>
          <w:i/>
        </w:rPr>
      </w:pPr>
      <w:r w:rsidRPr="003C736A">
        <w:rPr>
          <w:rFonts w:ascii="Garamond" w:hAnsi="Garamond"/>
          <w:b/>
          <w:i/>
        </w:rPr>
        <w:t>A : L’attribution d’un comportement à l’Etat</w:t>
      </w:r>
    </w:p>
    <w:p w14:paraId="5B2C8FAD" w14:textId="77777777" w:rsidR="005A636F" w:rsidRPr="003C736A" w:rsidRDefault="005A636F" w:rsidP="005A636F">
      <w:pPr>
        <w:pStyle w:val="Paragraphedeliste"/>
        <w:numPr>
          <w:ilvl w:val="0"/>
          <w:numId w:val="12"/>
        </w:numPr>
        <w:spacing w:line="259" w:lineRule="auto"/>
        <w:rPr>
          <w:rFonts w:ascii="Garamond" w:hAnsi="Garamond"/>
          <w:i/>
        </w:rPr>
      </w:pPr>
      <w:r w:rsidRPr="003C736A">
        <w:rPr>
          <w:rFonts w:ascii="Garamond" w:hAnsi="Garamond"/>
          <w:i/>
        </w:rPr>
        <w:t>Le principe général d’attribution : L’attribution à l’Etat des comportements de ses organes</w:t>
      </w:r>
    </w:p>
    <w:p w14:paraId="5790CA05" w14:textId="77777777" w:rsidR="005A636F" w:rsidRPr="003C736A" w:rsidRDefault="005A636F" w:rsidP="005A636F">
      <w:pPr>
        <w:pStyle w:val="Paragraphedeliste"/>
        <w:numPr>
          <w:ilvl w:val="0"/>
          <w:numId w:val="12"/>
        </w:numPr>
        <w:spacing w:line="259" w:lineRule="auto"/>
        <w:rPr>
          <w:rFonts w:ascii="Garamond" w:hAnsi="Garamond"/>
          <w:i/>
        </w:rPr>
      </w:pPr>
      <w:r w:rsidRPr="003C736A">
        <w:rPr>
          <w:rFonts w:ascii="Garamond" w:hAnsi="Garamond"/>
          <w:i/>
        </w:rPr>
        <w:t>Les comportements attribuables à l’Etat autres que ceux de ses organes</w:t>
      </w:r>
    </w:p>
    <w:p w14:paraId="68A30A6A" w14:textId="77777777" w:rsidR="005A636F" w:rsidRPr="003C736A" w:rsidRDefault="005A636F" w:rsidP="005A636F">
      <w:pPr>
        <w:ind w:left="1776"/>
        <w:jc w:val="both"/>
        <w:rPr>
          <w:rFonts w:ascii="Garamond" w:eastAsia="Times New Roman" w:hAnsi="Garamond" w:cs="Times New Roman"/>
          <w:b/>
          <w:i/>
          <w:lang w:eastAsia="fr-FR"/>
        </w:rPr>
      </w:pPr>
      <w:r w:rsidRPr="003C736A">
        <w:rPr>
          <w:rFonts w:ascii="Garamond" w:hAnsi="Garamond"/>
          <w:b/>
          <w:i/>
        </w:rPr>
        <w:t>a.</w:t>
      </w:r>
      <w:bookmarkStart w:id="0" w:name="_Toc396992241"/>
      <w:bookmarkStart w:id="1" w:name="_Toc273604565"/>
      <w:r w:rsidRPr="003C736A">
        <w:rPr>
          <w:rFonts w:ascii="Garamond" w:hAnsi="Garamond"/>
          <w:b/>
          <w:i/>
        </w:rPr>
        <w:t xml:space="preserve"> </w:t>
      </w:r>
      <w:r w:rsidRPr="003C736A">
        <w:rPr>
          <w:rFonts w:ascii="Garamond" w:eastAsia="Times New Roman" w:hAnsi="Garamond" w:cs="Times New Roman"/>
          <w:b/>
          <w:i/>
          <w:lang w:eastAsia="fr-FR"/>
        </w:rPr>
        <w:t>Les comportements de personnes ou entités liées à l’Etat par un lien formel</w:t>
      </w:r>
      <w:bookmarkEnd w:id="0"/>
      <w:bookmarkEnd w:id="1"/>
    </w:p>
    <w:p w14:paraId="51D3743A" w14:textId="77777777" w:rsidR="005A636F" w:rsidRPr="003C736A" w:rsidRDefault="005A636F" w:rsidP="005A636F">
      <w:pPr>
        <w:ind w:left="2124"/>
        <w:jc w:val="both"/>
        <w:rPr>
          <w:rFonts w:ascii="Garamond" w:hAnsi="Garamond" w:cs="Times New Roman"/>
          <w:lang w:eastAsia="fr-FR"/>
        </w:rPr>
      </w:pPr>
      <w:bookmarkStart w:id="2" w:name="_Toc396238510"/>
      <w:bookmarkStart w:id="3" w:name="_Toc396992242"/>
      <w:bookmarkStart w:id="4" w:name="_Toc273604566"/>
      <w:r w:rsidRPr="003C736A">
        <w:rPr>
          <w:rFonts w:ascii="Garamond" w:hAnsi="Garamond" w:cs="Times New Roman"/>
          <w:lang w:eastAsia="fr-FR"/>
        </w:rPr>
        <w:t xml:space="preserve">i. Les comportements de personnes ou entités dotées de </w:t>
      </w:r>
      <w:bookmarkEnd w:id="2"/>
      <w:r w:rsidRPr="003C736A">
        <w:rPr>
          <w:rFonts w:ascii="Garamond" w:hAnsi="Garamond" w:cs="Times New Roman"/>
          <w:lang w:eastAsia="fr-FR"/>
        </w:rPr>
        <w:t>prérogatives de puissance publique</w:t>
      </w:r>
      <w:bookmarkEnd w:id="3"/>
      <w:bookmarkEnd w:id="4"/>
    </w:p>
    <w:p w14:paraId="381EA83E" w14:textId="77777777" w:rsidR="005A636F" w:rsidRPr="003C736A" w:rsidRDefault="005A636F" w:rsidP="005A636F">
      <w:pPr>
        <w:ind w:left="1416" w:firstLine="708"/>
        <w:jc w:val="both"/>
        <w:rPr>
          <w:rFonts w:ascii="Garamond" w:hAnsi="Garamond" w:cs="Times New Roman"/>
          <w:lang w:eastAsia="fr-FR"/>
        </w:rPr>
      </w:pPr>
      <w:r w:rsidRPr="003C736A">
        <w:rPr>
          <w:rFonts w:ascii="Garamond" w:hAnsi="Garamond" w:cs="Times New Roman"/>
        </w:rPr>
        <w:t xml:space="preserve">ii. </w:t>
      </w:r>
      <w:bookmarkStart w:id="5" w:name="_Toc396238511"/>
      <w:bookmarkStart w:id="6" w:name="_Toc396992243"/>
      <w:bookmarkStart w:id="7" w:name="_Toc273604567"/>
      <w:r w:rsidRPr="003C736A">
        <w:rPr>
          <w:rFonts w:ascii="Garamond" w:hAnsi="Garamond" w:cs="Times New Roman"/>
          <w:lang w:eastAsia="fr-FR"/>
        </w:rPr>
        <w:t>Les comportements d’agents mis à disposition</w:t>
      </w:r>
      <w:bookmarkEnd w:id="5"/>
      <w:r w:rsidRPr="003C736A">
        <w:rPr>
          <w:rFonts w:ascii="Garamond" w:hAnsi="Garamond" w:cs="Times New Roman"/>
          <w:lang w:eastAsia="fr-FR"/>
        </w:rPr>
        <w:t xml:space="preserve"> de l’Etat</w:t>
      </w:r>
      <w:bookmarkEnd w:id="6"/>
      <w:bookmarkEnd w:id="7"/>
    </w:p>
    <w:p w14:paraId="0B291DD4" w14:textId="77777777" w:rsidR="005A636F" w:rsidRPr="003C736A" w:rsidRDefault="005A636F" w:rsidP="005A636F">
      <w:pPr>
        <w:ind w:left="1716"/>
        <w:jc w:val="both"/>
        <w:rPr>
          <w:rFonts w:ascii="Garamond" w:hAnsi="Garamond"/>
          <w:b/>
          <w:i/>
          <w:lang w:eastAsia="fr-FR"/>
        </w:rPr>
      </w:pPr>
      <w:bookmarkStart w:id="8" w:name="_Toc396992244"/>
      <w:bookmarkStart w:id="9" w:name="_Toc509232192"/>
      <w:r w:rsidRPr="003C736A">
        <w:rPr>
          <w:rFonts w:ascii="Garamond" w:hAnsi="Garamond"/>
          <w:b/>
          <w:i/>
          <w:lang w:eastAsia="fr-FR"/>
        </w:rPr>
        <w:t>b. Les comportements de personnes ou entités liées à l’Etat par un lien factuel ou fonctionnel</w:t>
      </w:r>
      <w:bookmarkEnd w:id="8"/>
      <w:bookmarkEnd w:id="9"/>
    </w:p>
    <w:p w14:paraId="436A168C" w14:textId="77777777" w:rsidR="005A636F" w:rsidRPr="003C736A" w:rsidRDefault="005A636F" w:rsidP="005A636F">
      <w:pPr>
        <w:ind w:left="1688" w:firstLine="436"/>
        <w:jc w:val="both"/>
        <w:rPr>
          <w:rFonts w:ascii="Garamond" w:hAnsi="Garamond"/>
          <w:lang w:eastAsia="fr-FR"/>
        </w:rPr>
      </w:pPr>
      <w:bookmarkStart w:id="10" w:name="_Toc396992245"/>
      <w:bookmarkStart w:id="11" w:name="_Toc509232193"/>
      <w:r w:rsidRPr="003C736A">
        <w:rPr>
          <w:rFonts w:ascii="Garamond" w:hAnsi="Garamond"/>
          <w:lang w:eastAsia="fr-FR"/>
        </w:rPr>
        <w:t>i. L’attribution à l’Etat des comportements de ses agents de facto</w:t>
      </w:r>
      <w:bookmarkEnd w:id="10"/>
      <w:bookmarkEnd w:id="11"/>
    </w:p>
    <w:p w14:paraId="57EFCC1B" w14:textId="77777777" w:rsidR="005A636F" w:rsidRPr="003C736A" w:rsidRDefault="005A636F" w:rsidP="005A636F">
      <w:pPr>
        <w:ind w:left="2124"/>
        <w:jc w:val="both"/>
        <w:rPr>
          <w:rFonts w:ascii="Garamond" w:hAnsi="Garamond"/>
          <w:lang w:eastAsia="fr-FR"/>
        </w:rPr>
      </w:pPr>
      <w:bookmarkStart w:id="12" w:name="_Toc396238516"/>
      <w:bookmarkStart w:id="13" w:name="_Toc396992246"/>
      <w:bookmarkStart w:id="14" w:name="_Toc509232194"/>
      <w:r w:rsidRPr="003C736A">
        <w:rPr>
          <w:rFonts w:ascii="Garamond" w:hAnsi="Garamond"/>
          <w:lang w:eastAsia="fr-FR"/>
        </w:rPr>
        <w:t>ii. Les comportements intervenus en cas de carences des autorités officielles de l’Etat</w:t>
      </w:r>
      <w:bookmarkEnd w:id="12"/>
      <w:bookmarkEnd w:id="13"/>
      <w:bookmarkEnd w:id="14"/>
      <w:r w:rsidRPr="003C736A">
        <w:rPr>
          <w:rFonts w:ascii="Garamond" w:hAnsi="Garamond"/>
          <w:lang w:eastAsia="fr-FR"/>
        </w:rPr>
        <w:t> </w:t>
      </w:r>
    </w:p>
    <w:p w14:paraId="2575FA15" w14:textId="77777777" w:rsidR="005A636F" w:rsidRPr="003C736A" w:rsidRDefault="005A636F" w:rsidP="005A636F">
      <w:pPr>
        <w:ind w:left="1716"/>
        <w:jc w:val="both"/>
        <w:rPr>
          <w:rFonts w:ascii="Garamond" w:hAnsi="Garamond"/>
          <w:b/>
          <w:lang w:eastAsia="fr-FR"/>
        </w:rPr>
      </w:pPr>
      <w:bookmarkStart w:id="15" w:name="_Toc396238517"/>
      <w:bookmarkStart w:id="16" w:name="_Toc396992247"/>
      <w:bookmarkStart w:id="17" w:name="_Toc509232195"/>
      <w:r w:rsidRPr="003C736A">
        <w:rPr>
          <w:rFonts w:ascii="Garamond" w:hAnsi="Garamond"/>
          <w:b/>
          <w:lang w:eastAsia="fr-FR"/>
        </w:rPr>
        <w:t>c.  L</w:t>
      </w:r>
      <w:bookmarkEnd w:id="15"/>
      <w:r w:rsidRPr="003C736A">
        <w:rPr>
          <w:rFonts w:ascii="Garamond" w:hAnsi="Garamond"/>
          <w:b/>
          <w:lang w:eastAsia="fr-FR"/>
        </w:rPr>
        <w:t>’attribution à l’Etat des comportements de personnes ou entités dénuées de tout lien avec lui.</w:t>
      </w:r>
      <w:bookmarkEnd w:id="16"/>
      <w:bookmarkEnd w:id="17"/>
    </w:p>
    <w:p w14:paraId="3A07BC0A" w14:textId="77777777" w:rsidR="005A636F" w:rsidRPr="003C736A" w:rsidRDefault="005A636F" w:rsidP="005A636F">
      <w:pPr>
        <w:ind w:left="1688" w:firstLine="436"/>
        <w:jc w:val="both"/>
        <w:rPr>
          <w:rFonts w:ascii="Garamond" w:hAnsi="Garamond"/>
          <w:lang w:eastAsia="fr-FR"/>
        </w:rPr>
      </w:pPr>
      <w:bookmarkStart w:id="18" w:name="_Toc396992248"/>
      <w:bookmarkStart w:id="19" w:name="_Toc509232196"/>
      <w:r w:rsidRPr="003C736A">
        <w:rPr>
          <w:rFonts w:ascii="Garamond" w:hAnsi="Garamond"/>
          <w:lang w:eastAsia="fr-FR"/>
        </w:rPr>
        <w:t>i. Les comportements de mouvements insurrectionnels victorieux</w:t>
      </w:r>
      <w:bookmarkEnd w:id="18"/>
      <w:bookmarkEnd w:id="19"/>
    </w:p>
    <w:p w14:paraId="55C59F40" w14:textId="77777777" w:rsidR="005A636F" w:rsidRPr="003C736A" w:rsidRDefault="005A636F" w:rsidP="005A636F">
      <w:pPr>
        <w:ind w:left="1660" w:firstLine="464"/>
        <w:jc w:val="both"/>
        <w:rPr>
          <w:rFonts w:ascii="Garamond" w:hAnsi="Garamond"/>
          <w:lang w:eastAsia="fr-FR"/>
        </w:rPr>
      </w:pPr>
      <w:bookmarkStart w:id="20" w:name="_Toc396238518"/>
      <w:bookmarkStart w:id="21" w:name="_Toc396992249"/>
      <w:bookmarkStart w:id="22" w:name="_Toc509232197"/>
      <w:r w:rsidRPr="003C736A">
        <w:rPr>
          <w:rFonts w:ascii="Garamond" w:hAnsi="Garamond"/>
          <w:lang w:eastAsia="fr-FR"/>
        </w:rPr>
        <w:t>ii. Les comportements reconnus par l’Etat comme étant les siens</w:t>
      </w:r>
      <w:bookmarkEnd w:id="20"/>
      <w:bookmarkEnd w:id="21"/>
      <w:bookmarkEnd w:id="22"/>
    </w:p>
    <w:p w14:paraId="197B4F5E" w14:textId="77777777" w:rsidR="005A636F" w:rsidRPr="003C736A" w:rsidRDefault="005A636F" w:rsidP="005A636F">
      <w:pPr>
        <w:ind w:left="708"/>
        <w:rPr>
          <w:rFonts w:ascii="Garamond" w:hAnsi="Garamond"/>
          <w:b/>
          <w:i/>
        </w:rPr>
      </w:pPr>
      <w:r w:rsidRPr="003C736A">
        <w:rPr>
          <w:rFonts w:ascii="Garamond" w:hAnsi="Garamond"/>
          <w:b/>
          <w:i/>
        </w:rPr>
        <w:t>B. L’existence d’un fait internationalement illicite</w:t>
      </w:r>
    </w:p>
    <w:p w14:paraId="2AA078F4" w14:textId="77777777" w:rsidR="005A636F" w:rsidRPr="003C736A" w:rsidRDefault="005A636F" w:rsidP="005A636F">
      <w:pPr>
        <w:ind w:left="1428"/>
        <w:rPr>
          <w:rFonts w:ascii="Garamond" w:hAnsi="Garamond"/>
          <w:i/>
        </w:rPr>
      </w:pPr>
      <w:r w:rsidRPr="003C736A">
        <w:rPr>
          <w:rFonts w:ascii="Garamond" w:hAnsi="Garamond"/>
          <w:i/>
        </w:rPr>
        <w:t>1. La violation d’une obligation internationale</w:t>
      </w:r>
    </w:p>
    <w:p w14:paraId="694CFE22" w14:textId="77777777" w:rsidR="005A636F" w:rsidRPr="003C736A" w:rsidRDefault="005A636F" w:rsidP="005A636F">
      <w:pPr>
        <w:ind w:left="1428"/>
        <w:rPr>
          <w:rFonts w:ascii="Garamond" w:hAnsi="Garamond"/>
          <w:i/>
        </w:rPr>
      </w:pPr>
      <w:r w:rsidRPr="003C736A">
        <w:rPr>
          <w:rFonts w:ascii="Garamond" w:hAnsi="Garamond"/>
          <w:i/>
        </w:rPr>
        <w:t>2. Les circonstances excluant l’illicéité</w:t>
      </w:r>
    </w:p>
    <w:p w14:paraId="49BE41DB" w14:textId="77777777" w:rsidR="005A636F" w:rsidRPr="003C736A" w:rsidRDefault="005A636F" w:rsidP="005A636F">
      <w:pPr>
        <w:rPr>
          <w:rFonts w:ascii="Garamond" w:hAnsi="Garamond"/>
          <w:b/>
        </w:rPr>
      </w:pPr>
    </w:p>
    <w:p w14:paraId="22F150CB" w14:textId="77777777" w:rsidR="005A636F" w:rsidRPr="003C736A" w:rsidRDefault="005A636F" w:rsidP="005A636F">
      <w:pPr>
        <w:ind w:left="708"/>
        <w:rPr>
          <w:rFonts w:ascii="Garamond" w:hAnsi="Garamond"/>
          <w:b/>
          <w:i/>
        </w:rPr>
      </w:pPr>
      <w:r w:rsidRPr="003C736A">
        <w:rPr>
          <w:rFonts w:ascii="Garamond" w:hAnsi="Garamond"/>
          <w:b/>
          <w:i/>
          <w:noProof/>
        </w:rPr>
        <w:t>C. La responsabilité d’un Etat en lien avec le fait internationalement illicite d’un autre sujet du droit international</w:t>
      </w:r>
    </w:p>
    <w:p w14:paraId="1EB5343F" w14:textId="77777777" w:rsidR="005A636F" w:rsidRPr="003C736A" w:rsidRDefault="005A636F" w:rsidP="005A636F">
      <w:pPr>
        <w:ind w:left="360"/>
        <w:rPr>
          <w:rFonts w:ascii="Garamond" w:hAnsi="Garamond"/>
          <w:b/>
        </w:rPr>
      </w:pPr>
    </w:p>
    <w:p w14:paraId="28A206B7" w14:textId="77777777" w:rsidR="005A636F" w:rsidRPr="003C736A" w:rsidRDefault="005A636F" w:rsidP="005A636F">
      <w:pPr>
        <w:ind w:left="360"/>
        <w:rPr>
          <w:rFonts w:ascii="Garamond" w:hAnsi="Garamond"/>
          <w:b/>
        </w:rPr>
      </w:pPr>
      <w:r w:rsidRPr="003C736A">
        <w:rPr>
          <w:rFonts w:ascii="Garamond" w:hAnsi="Garamond"/>
          <w:b/>
        </w:rPr>
        <w:t>II. Les conséquences de l’établissement de la responsabilité des Etats</w:t>
      </w:r>
    </w:p>
    <w:p w14:paraId="6AE86C4D" w14:textId="77777777" w:rsidR="005A636F" w:rsidRPr="003C736A" w:rsidRDefault="005A636F" w:rsidP="005A636F">
      <w:pPr>
        <w:pStyle w:val="Paragraphedeliste"/>
        <w:rPr>
          <w:rFonts w:ascii="Garamond" w:hAnsi="Garamond"/>
          <w:b/>
        </w:rPr>
      </w:pPr>
    </w:p>
    <w:p w14:paraId="718FAD4C" w14:textId="77777777" w:rsidR="005A636F" w:rsidRPr="003C736A" w:rsidRDefault="005A636F" w:rsidP="005A636F">
      <w:pPr>
        <w:pStyle w:val="Paragraphedeliste"/>
        <w:numPr>
          <w:ilvl w:val="0"/>
          <w:numId w:val="3"/>
        </w:numPr>
        <w:spacing w:line="259" w:lineRule="auto"/>
        <w:rPr>
          <w:rFonts w:ascii="Garamond" w:hAnsi="Garamond"/>
          <w:b/>
          <w:i/>
        </w:rPr>
      </w:pPr>
      <w:r w:rsidRPr="003C736A">
        <w:rPr>
          <w:rFonts w:ascii="Garamond" w:hAnsi="Garamond"/>
          <w:b/>
          <w:i/>
        </w:rPr>
        <w:t>La mise en œuvre de la responsabilité</w:t>
      </w:r>
    </w:p>
    <w:p w14:paraId="2FF82908" w14:textId="77777777" w:rsidR="005A636F" w:rsidRPr="003C736A" w:rsidRDefault="005A636F" w:rsidP="005A636F">
      <w:pPr>
        <w:pStyle w:val="Paragraphedeliste"/>
        <w:numPr>
          <w:ilvl w:val="0"/>
          <w:numId w:val="5"/>
        </w:numPr>
        <w:spacing w:line="259" w:lineRule="auto"/>
        <w:rPr>
          <w:rFonts w:ascii="Garamond" w:hAnsi="Garamond"/>
          <w:i/>
        </w:rPr>
      </w:pPr>
      <w:r w:rsidRPr="003C736A">
        <w:rPr>
          <w:rFonts w:ascii="Garamond" w:hAnsi="Garamond"/>
          <w:i/>
        </w:rPr>
        <w:t>L’invocation de la responsabilité</w:t>
      </w:r>
    </w:p>
    <w:p w14:paraId="5E4AEB73" w14:textId="77777777" w:rsidR="005A636F" w:rsidRPr="003C736A" w:rsidRDefault="005A636F" w:rsidP="005A636F">
      <w:pPr>
        <w:pStyle w:val="Paragraphedeliste"/>
        <w:numPr>
          <w:ilvl w:val="0"/>
          <w:numId w:val="5"/>
        </w:numPr>
        <w:spacing w:line="259" w:lineRule="auto"/>
        <w:rPr>
          <w:rFonts w:ascii="Garamond" w:hAnsi="Garamond"/>
          <w:i/>
        </w:rPr>
      </w:pPr>
      <w:r w:rsidRPr="003C736A">
        <w:rPr>
          <w:rFonts w:ascii="Garamond" w:hAnsi="Garamond"/>
          <w:i/>
        </w:rPr>
        <w:t>Les contre-mesures</w:t>
      </w:r>
    </w:p>
    <w:p w14:paraId="7B3788EB" w14:textId="77777777" w:rsidR="005A636F" w:rsidRPr="003C736A" w:rsidRDefault="005A636F" w:rsidP="005A636F">
      <w:pPr>
        <w:pStyle w:val="Paragraphedeliste"/>
        <w:ind w:left="1068"/>
        <w:rPr>
          <w:rFonts w:ascii="Garamond" w:hAnsi="Garamond"/>
          <w:b/>
          <w:i/>
        </w:rPr>
      </w:pPr>
    </w:p>
    <w:p w14:paraId="1C8CA007" w14:textId="77777777" w:rsidR="005A636F" w:rsidRPr="003C736A" w:rsidRDefault="005A636F" w:rsidP="005A636F">
      <w:pPr>
        <w:pStyle w:val="Paragraphedeliste"/>
        <w:numPr>
          <w:ilvl w:val="0"/>
          <w:numId w:val="3"/>
        </w:numPr>
        <w:spacing w:line="259" w:lineRule="auto"/>
        <w:rPr>
          <w:rFonts w:ascii="Garamond" w:hAnsi="Garamond"/>
          <w:b/>
          <w:i/>
        </w:rPr>
      </w:pPr>
      <w:r w:rsidRPr="003C736A">
        <w:rPr>
          <w:rFonts w:ascii="Garamond" w:hAnsi="Garamond"/>
          <w:b/>
          <w:i/>
        </w:rPr>
        <w:t>Le contenu de la responsabilité</w:t>
      </w:r>
    </w:p>
    <w:p w14:paraId="59E3DB5F" w14:textId="77777777" w:rsidR="005A636F" w:rsidRPr="003C736A" w:rsidRDefault="005A636F" w:rsidP="005A636F">
      <w:pPr>
        <w:pStyle w:val="Paragraphedeliste"/>
        <w:numPr>
          <w:ilvl w:val="0"/>
          <w:numId w:val="6"/>
        </w:numPr>
        <w:spacing w:line="259" w:lineRule="auto"/>
        <w:rPr>
          <w:rFonts w:ascii="Garamond" w:hAnsi="Garamond"/>
          <w:i/>
        </w:rPr>
      </w:pPr>
      <w:r w:rsidRPr="003C736A">
        <w:rPr>
          <w:rFonts w:ascii="Garamond" w:hAnsi="Garamond"/>
          <w:i/>
        </w:rPr>
        <w:t>La réparation du préjudice</w:t>
      </w:r>
    </w:p>
    <w:p w14:paraId="1563B982" w14:textId="77777777" w:rsidR="005A636F" w:rsidRPr="003C736A" w:rsidRDefault="005A636F" w:rsidP="005A636F">
      <w:pPr>
        <w:pStyle w:val="Paragraphedeliste"/>
        <w:numPr>
          <w:ilvl w:val="0"/>
          <w:numId w:val="7"/>
        </w:numPr>
        <w:spacing w:line="259" w:lineRule="auto"/>
        <w:rPr>
          <w:rFonts w:ascii="Garamond" w:hAnsi="Garamond"/>
          <w:i/>
        </w:rPr>
      </w:pPr>
      <w:r w:rsidRPr="003C736A">
        <w:rPr>
          <w:rFonts w:ascii="Garamond" w:hAnsi="Garamond"/>
          <w:i/>
        </w:rPr>
        <w:t>L’obligation de réparer</w:t>
      </w:r>
    </w:p>
    <w:p w14:paraId="2DD07C94" w14:textId="77777777" w:rsidR="005A636F" w:rsidRPr="003C736A" w:rsidRDefault="005A636F" w:rsidP="005A636F">
      <w:pPr>
        <w:ind w:left="2136"/>
        <w:rPr>
          <w:rFonts w:ascii="Garamond" w:hAnsi="Garamond"/>
          <w:i/>
        </w:rPr>
      </w:pPr>
      <w:r w:rsidRPr="003C736A">
        <w:rPr>
          <w:rFonts w:ascii="Garamond" w:hAnsi="Garamond"/>
          <w:i/>
        </w:rPr>
        <w:t>ii. Les formes de la réparation du préjudice</w:t>
      </w:r>
    </w:p>
    <w:p w14:paraId="32481721" w14:textId="77777777" w:rsidR="005A636F" w:rsidRPr="003C736A" w:rsidRDefault="005A636F" w:rsidP="005A636F">
      <w:pPr>
        <w:pStyle w:val="Paragraphedeliste"/>
        <w:numPr>
          <w:ilvl w:val="0"/>
          <w:numId w:val="8"/>
        </w:numPr>
        <w:spacing w:line="259" w:lineRule="auto"/>
        <w:rPr>
          <w:rFonts w:ascii="Garamond" w:hAnsi="Garamond"/>
          <w:i/>
        </w:rPr>
      </w:pPr>
      <w:r w:rsidRPr="003C736A">
        <w:rPr>
          <w:rFonts w:ascii="Garamond" w:hAnsi="Garamond"/>
          <w:i/>
        </w:rPr>
        <w:t>La restitution</w:t>
      </w:r>
    </w:p>
    <w:p w14:paraId="12AC0CE8" w14:textId="77777777" w:rsidR="005A636F" w:rsidRPr="003C736A" w:rsidRDefault="005A636F" w:rsidP="005A636F">
      <w:pPr>
        <w:pStyle w:val="Paragraphedeliste"/>
        <w:numPr>
          <w:ilvl w:val="0"/>
          <w:numId w:val="8"/>
        </w:numPr>
        <w:spacing w:line="259" w:lineRule="auto"/>
        <w:rPr>
          <w:rFonts w:ascii="Garamond" w:hAnsi="Garamond"/>
          <w:i/>
        </w:rPr>
      </w:pPr>
      <w:r w:rsidRPr="003C736A">
        <w:rPr>
          <w:rFonts w:ascii="Garamond" w:hAnsi="Garamond"/>
          <w:i/>
        </w:rPr>
        <w:t>L’indemnisation</w:t>
      </w:r>
    </w:p>
    <w:p w14:paraId="6D77D16F" w14:textId="77777777" w:rsidR="005A636F" w:rsidRPr="003C736A" w:rsidRDefault="005A636F" w:rsidP="005A636F">
      <w:pPr>
        <w:pStyle w:val="Paragraphedeliste"/>
        <w:numPr>
          <w:ilvl w:val="0"/>
          <w:numId w:val="8"/>
        </w:numPr>
        <w:spacing w:line="259" w:lineRule="auto"/>
        <w:rPr>
          <w:rFonts w:ascii="Garamond" w:hAnsi="Garamond"/>
          <w:i/>
        </w:rPr>
      </w:pPr>
      <w:r w:rsidRPr="003C736A">
        <w:rPr>
          <w:rFonts w:ascii="Garamond" w:hAnsi="Garamond"/>
          <w:i/>
        </w:rPr>
        <w:t>La satisfaction</w:t>
      </w:r>
    </w:p>
    <w:p w14:paraId="28AA6F29" w14:textId="77777777" w:rsidR="005A636F" w:rsidRPr="003C736A" w:rsidRDefault="005A636F" w:rsidP="005A636F">
      <w:pPr>
        <w:pStyle w:val="Paragraphedeliste"/>
        <w:numPr>
          <w:ilvl w:val="0"/>
          <w:numId w:val="6"/>
        </w:numPr>
        <w:spacing w:line="259" w:lineRule="auto"/>
        <w:rPr>
          <w:rFonts w:ascii="Garamond" w:hAnsi="Garamond"/>
          <w:i/>
        </w:rPr>
      </w:pPr>
      <w:r w:rsidRPr="003C736A">
        <w:rPr>
          <w:rFonts w:ascii="Garamond" w:hAnsi="Garamond"/>
          <w:i/>
        </w:rPr>
        <w:lastRenderedPageBreak/>
        <w:t>Les garanties de cessation et de non répétition</w:t>
      </w:r>
    </w:p>
    <w:p w14:paraId="2D7737A9" w14:textId="77777777" w:rsidR="005A636F" w:rsidRPr="003C736A" w:rsidRDefault="005A636F" w:rsidP="005A636F">
      <w:pPr>
        <w:pStyle w:val="Paragraphedeliste"/>
        <w:numPr>
          <w:ilvl w:val="0"/>
          <w:numId w:val="6"/>
        </w:numPr>
        <w:spacing w:line="259" w:lineRule="auto"/>
        <w:rPr>
          <w:rFonts w:ascii="Garamond" w:hAnsi="Garamond"/>
          <w:i/>
        </w:rPr>
      </w:pPr>
      <w:r w:rsidRPr="003C736A">
        <w:rPr>
          <w:rFonts w:ascii="Garamond" w:hAnsi="Garamond"/>
          <w:noProof/>
        </w:rPr>
        <w:t>Les conséquences particulières de violations graves d’obligations découlant de normes impératives du droit international général</w:t>
      </w:r>
    </w:p>
    <w:p w14:paraId="519F17F9" w14:textId="77777777" w:rsidR="005A636F" w:rsidRPr="003C736A" w:rsidRDefault="005A636F" w:rsidP="005A636F">
      <w:pPr>
        <w:pStyle w:val="Paragraphedeliste"/>
        <w:rPr>
          <w:rFonts w:ascii="Garamond" w:hAnsi="Garamond"/>
          <w:b/>
          <w:i/>
        </w:rPr>
      </w:pPr>
    </w:p>
    <w:p w14:paraId="5F679388" w14:textId="77777777" w:rsidR="005A636F" w:rsidRPr="000C0159" w:rsidRDefault="005A636F" w:rsidP="005A636F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PARTIE II : </w:t>
      </w:r>
      <w:r w:rsidRPr="000C0159">
        <w:rPr>
          <w:rFonts w:ascii="Garamond" w:hAnsi="Garamond"/>
          <w:b/>
          <w:u w:val="single"/>
        </w:rPr>
        <w:t>La responsabilité des organisations internationales : singularités</w:t>
      </w:r>
    </w:p>
    <w:p w14:paraId="2393ADB6" w14:textId="77777777" w:rsidR="005A636F" w:rsidRPr="003C736A" w:rsidRDefault="005A636F" w:rsidP="005A636F">
      <w:pPr>
        <w:pStyle w:val="Paragraphedeliste"/>
        <w:ind w:left="1080"/>
        <w:rPr>
          <w:rFonts w:ascii="Garamond" w:hAnsi="Garamond"/>
          <w:b/>
          <w:u w:val="single"/>
        </w:rPr>
      </w:pPr>
    </w:p>
    <w:p w14:paraId="737BE8C5" w14:textId="77777777" w:rsidR="005A636F" w:rsidRPr="003C736A" w:rsidRDefault="005A636F" w:rsidP="005A636F">
      <w:pPr>
        <w:pStyle w:val="Paragraphedeliste"/>
        <w:ind w:left="0"/>
        <w:rPr>
          <w:rFonts w:ascii="Garamond" w:hAnsi="Garamond"/>
        </w:rPr>
      </w:pPr>
      <w:r w:rsidRPr="003C736A">
        <w:rPr>
          <w:rFonts w:ascii="Garamond" w:hAnsi="Garamond"/>
        </w:rPr>
        <w:t>Introduction au droit de la responsabilité des OI</w:t>
      </w:r>
    </w:p>
    <w:p w14:paraId="739DBC9B" w14:textId="77777777" w:rsidR="005A636F" w:rsidRPr="003C736A" w:rsidRDefault="005A636F" w:rsidP="005A636F">
      <w:pPr>
        <w:pStyle w:val="Paragraphedeliste"/>
        <w:ind w:left="0"/>
        <w:rPr>
          <w:rFonts w:ascii="Garamond" w:hAnsi="Garamond"/>
        </w:rPr>
      </w:pPr>
      <w:r w:rsidRPr="003C736A">
        <w:rPr>
          <w:rFonts w:ascii="Garamond" w:hAnsi="Garamond"/>
        </w:rPr>
        <w:t>-Généralités</w:t>
      </w:r>
    </w:p>
    <w:p w14:paraId="05598E02" w14:textId="77777777" w:rsidR="005A636F" w:rsidRPr="003C736A" w:rsidRDefault="005A636F" w:rsidP="005A636F">
      <w:pPr>
        <w:pStyle w:val="Paragraphedeliste"/>
        <w:ind w:left="0"/>
        <w:rPr>
          <w:rFonts w:ascii="Garamond" w:hAnsi="Garamond"/>
        </w:rPr>
      </w:pPr>
      <w:r w:rsidRPr="003C736A">
        <w:rPr>
          <w:rFonts w:ascii="Garamond" w:hAnsi="Garamond"/>
        </w:rPr>
        <w:t>-Les travaux de la CDI sur le droit de la responsabilité des OI</w:t>
      </w:r>
    </w:p>
    <w:p w14:paraId="57A99467" w14:textId="77777777" w:rsidR="005A636F" w:rsidRPr="003C736A" w:rsidRDefault="005A636F" w:rsidP="005A636F">
      <w:pPr>
        <w:pStyle w:val="Paragraphedeliste"/>
        <w:ind w:left="0"/>
        <w:rPr>
          <w:rFonts w:ascii="Garamond" w:hAnsi="Garamond"/>
        </w:rPr>
      </w:pPr>
      <w:r w:rsidRPr="003C736A">
        <w:rPr>
          <w:rFonts w:ascii="Garamond" w:hAnsi="Garamond"/>
        </w:rPr>
        <w:t>-Les autres travaux existants</w:t>
      </w:r>
    </w:p>
    <w:p w14:paraId="1FAF1DAB" w14:textId="77777777" w:rsidR="005A636F" w:rsidRPr="003C736A" w:rsidRDefault="005A636F" w:rsidP="005A636F">
      <w:pPr>
        <w:pStyle w:val="Paragraphedeliste"/>
        <w:numPr>
          <w:ilvl w:val="0"/>
          <w:numId w:val="9"/>
        </w:numPr>
        <w:spacing w:line="259" w:lineRule="auto"/>
        <w:rPr>
          <w:rFonts w:ascii="Garamond" w:hAnsi="Garamond" w:cstheme="minorHAnsi"/>
          <w:b/>
        </w:rPr>
      </w:pPr>
      <w:r w:rsidRPr="003C736A">
        <w:rPr>
          <w:rFonts w:ascii="Garamond" w:hAnsi="Garamond" w:cstheme="minorHAnsi"/>
          <w:b/>
        </w:rPr>
        <w:t>Les singularités du PAROI au plan de l’attribution</w:t>
      </w:r>
    </w:p>
    <w:p w14:paraId="1C11F254" w14:textId="77777777" w:rsidR="005A636F" w:rsidRPr="003C736A" w:rsidRDefault="005A636F" w:rsidP="005A636F">
      <w:pPr>
        <w:pStyle w:val="Paragraphedeliste"/>
        <w:numPr>
          <w:ilvl w:val="0"/>
          <w:numId w:val="10"/>
        </w:numPr>
        <w:spacing w:line="259" w:lineRule="auto"/>
        <w:rPr>
          <w:rFonts w:ascii="Garamond" w:hAnsi="Garamond" w:cstheme="minorHAnsi"/>
        </w:rPr>
      </w:pPr>
      <w:r w:rsidRPr="003C736A">
        <w:rPr>
          <w:rFonts w:ascii="Garamond" w:hAnsi="Garamond" w:cstheme="minorHAnsi"/>
        </w:rPr>
        <w:t>Un principe général d’attribution fondé sur un critère d’attribution fonctionnel lui donnant une portée très extensive</w:t>
      </w:r>
    </w:p>
    <w:p w14:paraId="778A45BF" w14:textId="77777777" w:rsidR="005A636F" w:rsidRPr="003C736A" w:rsidRDefault="005A636F" w:rsidP="005A636F">
      <w:pPr>
        <w:pStyle w:val="Paragraphedeliste"/>
        <w:numPr>
          <w:ilvl w:val="1"/>
          <w:numId w:val="6"/>
        </w:numPr>
        <w:spacing w:line="259" w:lineRule="auto"/>
        <w:rPr>
          <w:rFonts w:ascii="Garamond" w:hAnsi="Garamond" w:cstheme="minorHAnsi"/>
          <w:i/>
          <w:iCs/>
        </w:rPr>
      </w:pPr>
      <w:r w:rsidRPr="003C736A">
        <w:rPr>
          <w:rFonts w:ascii="Garamond" w:hAnsi="Garamond" w:cstheme="minorHAnsi"/>
          <w:i/>
          <w:iCs/>
        </w:rPr>
        <w:t>Un principe bénéficiant d’une solide reconnaissance</w:t>
      </w:r>
    </w:p>
    <w:p w14:paraId="0EA2AA4C" w14:textId="77777777" w:rsidR="005A636F" w:rsidRPr="003C736A" w:rsidRDefault="005A636F" w:rsidP="005A636F">
      <w:pPr>
        <w:pStyle w:val="Paragraphedeliste"/>
        <w:numPr>
          <w:ilvl w:val="1"/>
          <w:numId w:val="6"/>
        </w:numPr>
        <w:spacing w:line="259" w:lineRule="auto"/>
        <w:rPr>
          <w:rFonts w:ascii="Garamond" w:hAnsi="Garamond" w:cstheme="minorHAnsi"/>
          <w:i/>
        </w:rPr>
      </w:pPr>
      <w:r w:rsidRPr="003C736A">
        <w:rPr>
          <w:rFonts w:ascii="Garamond" w:hAnsi="Garamond" w:cstheme="minorHAnsi"/>
          <w:i/>
        </w:rPr>
        <w:t>Un principe de portée extensive</w:t>
      </w:r>
    </w:p>
    <w:p w14:paraId="116BED78" w14:textId="77777777" w:rsidR="005A636F" w:rsidRPr="003C736A" w:rsidRDefault="005A636F" w:rsidP="005A636F">
      <w:pPr>
        <w:pStyle w:val="Paragraphedeliste"/>
        <w:numPr>
          <w:ilvl w:val="0"/>
          <w:numId w:val="10"/>
        </w:numPr>
        <w:spacing w:line="259" w:lineRule="auto"/>
        <w:rPr>
          <w:rFonts w:ascii="Garamond" w:hAnsi="Garamond" w:cstheme="minorHAnsi"/>
        </w:rPr>
      </w:pPr>
      <w:r w:rsidRPr="003C736A">
        <w:rPr>
          <w:rFonts w:ascii="Garamond" w:hAnsi="Garamond" w:cstheme="minorHAnsi"/>
        </w:rPr>
        <w:t>Une relation spécifique avec les agents mis à sa disposition</w:t>
      </w:r>
    </w:p>
    <w:p w14:paraId="7481CF7C" w14:textId="77777777" w:rsidR="005A636F" w:rsidRPr="003C736A" w:rsidRDefault="005A636F" w:rsidP="005A636F">
      <w:pPr>
        <w:pStyle w:val="Paragraphedeliste"/>
        <w:numPr>
          <w:ilvl w:val="0"/>
          <w:numId w:val="9"/>
        </w:numPr>
        <w:spacing w:line="259" w:lineRule="auto"/>
        <w:rPr>
          <w:rFonts w:ascii="Garamond" w:hAnsi="Garamond" w:cstheme="minorHAnsi"/>
          <w:b/>
        </w:rPr>
      </w:pPr>
      <w:r w:rsidRPr="003C736A">
        <w:rPr>
          <w:rFonts w:ascii="Garamond" w:hAnsi="Garamond" w:cstheme="minorHAnsi"/>
          <w:b/>
        </w:rPr>
        <w:t>La question particulière de la responsabilité des Etats en lien avec les faits de l’organisation</w:t>
      </w:r>
      <w:bookmarkStart w:id="23" w:name="_Toc452540627"/>
    </w:p>
    <w:p w14:paraId="3301BF69" w14:textId="77777777" w:rsidR="005A636F" w:rsidRPr="003C736A" w:rsidRDefault="005A636F" w:rsidP="005A636F">
      <w:pPr>
        <w:pStyle w:val="Paragraphedeliste"/>
        <w:numPr>
          <w:ilvl w:val="0"/>
          <w:numId w:val="11"/>
        </w:numPr>
        <w:spacing w:line="259" w:lineRule="auto"/>
        <w:rPr>
          <w:rFonts w:ascii="Garamond" w:hAnsi="Garamond" w:cstheme="minorHAnsi"/>
        </w:rPr>
      </w:pPr>
      <w:r w:rsidRPr="003C736A">
        <w:rPr>
          <w:rFonts w:ascii="Garamond" w:hAnsi="Garamond" w:cstheme="minorHAnsi"/>
        </w:rPr>
        <w:t>L’absence de responsabilité des Etats membres du simple fait de leur qualité de membres</w:t>
      </w:r>
    </w:p>
    <w:p w14:paraId="6518E041" w14:textId="77777777" w:rsidR="005A636F" w:rsidRPr="003C736A" w:rsidRDefault="005A636F" w:rsidP="005A636F">
      <w:pPr>
        <w:pStyle w:val="Paragraphedeliste"/>
        <w:numPr>
          <w:ilvl w:val="1"/>
          <w:numId w:val="11"/>
        </w:numPr>
        <w:spacing w:line="259" w:lineRule="auto"/>
        <w:rPr>
          <w:rFonts w:ascii="Garamond" w:hAnsi="Garamond" w:cstheme="minorHAnsi"/>
        </w:rPr>
      </w:pPr>
      <w:r w:rsidRPr="003C736A">
        <w:rPr>
          <w:rFonts w:ascii="Garamond" w:hAnsi="Garamond" w:cstheme="minorHAnsi"/>
        </w:rPr>
        <w:t>Le principe : L’absence de responsabilité des Etats à raison de l’appartenance</w:t>
      </w:r>
    </w:p>
    <w:p w14:paraId="066017E6" w14:textId="77777777" w:rsidR="005A636F" w:rsidRPr="003C736A" w:rsidRDefault="005A636F" w:rsidP="005A636F">
      <w:pPr>
        <w:pStyle w:val="Paragraphedeliste"/>
        <w:numPr>
          <w:ilvl w:val="1"/>
          <w:numId w:val="11"/>
        </w:numPr>
        <w:spacing w:line="276" w:lineRule="auto"/>
        <w:jc w:val="both"/>
        <w:rPr>
          <w:rFonts w:ascii="Garamond" w:eastAsia="Times New Roman" w:hAnsi="Garamond" w:cs="Times New Roman"/>
          <w:lang w:eastAsia="fr-FR"/>
        </w:rPr>
      </w:pPr>
      <w:r w:rsidRPr="003C736A">
        <w:rPr>
          <w:rFonts w:ascii="Garamond" w:eastAsia="Times New Roman" w:hAnsi="Garamond" w:cs="Times New Roman"/>
          <w:lang w:eastAsia="fr-FR"/>
        </w:rPr>
        <w:t>Les cas exceptionnels de responsabilité des Etats pour les faits de l’organisation</w:t>
      </w:r>
    </w:p>
    <w:p w14:paraId="2F8196D1" w14:textId="77777777" w:rsidR="005A636F" w:rsidRPr="003C736A" w:rsidRDefault="005A636F" w:rsidP="005A636F">
      <w:pPr>
        <w:pStyle w:val="Paragraphedeliste"/>
        <w:numPr>
          <w:ilvl w:val="0"/>
          <w:numId w:val="11"/>
        </w:numPr>
        <w:spacing w:line="259" w:lineRule="auto"/>
        <w:rPr>
          <w:rFonts w:ascii="Garamond" w:hAnsi="Garamond" w:cs="Times New Roman"/>
        </w:rPr>
      </w:pPr>
      <w:bookmarkStart w:id="24" w:name="_Toc452540626"/>
      <w:r w:rsidRPr="003C736A">
        <w:rPr>
          <w:rFonts w:ascii="Garamond" w:hAnsi="Garamond" w:cs="Times New Roman"/>
        </w:rPr>
        <w:t>La responsabilité dérivée de l’État pour son propre comportement en lien avec le fait illicite d’une organisation internationale.</w:t>
      </w:r>
      <w:bookmarkEnd w:id="24"/>
    </w:p>
    <w:p w14:paraId="1983959D" w14:textId="77777777" w:rsidR="005A636F" w:rsidRPr="003C736A" w:rsidRDefault="005A636F" w:rsidP="005A636F">
      <w:pPr>
        <w:pStyle w:val="Paragraphedeliste"/>
        <w:numPr>
          <w:ilvl w:val="1"/>
          <w:numId w:val="4"/>
        </w:numPr>
        <w:ind w:firstLine="480"/>
        <w:jc w:val="both"/>
        <w:rPr>
          <w:rFonts w:ascii="Garamond" w:eastAsia="Times New Roman" w:hAnsi="Garamond" w:cs="Times New Roman"/>
          <w:lang w:eastAsia="fr-FR"/>
        </w:rPr>
      </w:pPr>
      <w:r w:rsidRPr="003C736A">
        <w:rPr>
          <w:rFonts w:ascii="Garamond" w:eastAsia="Times New Roman" w:hAnsi="Garamond" w:cs="Times New Roman"/>
          <w:lang w:eastAsia="fr-FR"/>
        </w:rPr>
        <w:t>Les hypothèses classiques de responsabilité dérivée d’un Etat pour les faits d’une organisation internationale</w:t>
      </w:r>
      <w:bookmarkEnd w:id="23"/>
    </w:p>
    <w:p w14:paraId="680F58A9" w14:textId="77777777" w:rsidR="005A636F" w:rsidRPr="003C736A" w:rsidRDefault="005A636F" w:rsidP="005A636F">
      <w:pPr>
        <w:pStyle w:val="Paragraphedeliste"/>
        <w:numPr>
          <w:ilvl w:val="3"/>
          <w:numId w:val="4"/>
        </w:numPr>
        <w:jc w:val="both"/>
        <w:rPr>
          <w:rFonts w:ascii="Garamond" w:eastAsia="Times New Roman" w:hAnsi="Garamond" w:cs="Times New Roman"/>
          <w:i/>
          <w:lang w:eastAsia="fr-FR"/>
        </w:rPr>
      </w:pPr>
      <w:bookmarkStart w:id="25" w:name="_Toc452540628"/>
      <w:r w:rsidRPr="003C736A">
        <w:rPr>
          <w:rFonts w:ascii="Garamond" w:eastAsia="Times New Roman" w:hAnsi="Garamond" w:cs="Times New Roman"/>
          <w:i/>
          <w:lang w:eastAsia="fr-FR"/>
        </w:rPr>
        <w:t>L’aide ou assistance apportée par un Etat à une organisation internationale dans la commission d’un fait internationalement illicite.</w:t>
      </w:r>
      <w:bookmarkEnd w:id="25"/>
    </w:p>
    <w:p w14:paraId="2FC9472D" w14:textId="77777777" w:rsidR="005A636F" w:rsidRPr="003C736A" w:rsidRDefault="005A636F" w:rsidP="005A636F">
      <w:pPr>
        <w:pStyle w:val="Paragraphedeliste"/>
        <w:numPr>
          <w:ilvl w:val="3"/>
          <w:numId w:val="4"/>
        </w:numPr>
        <w:jc w:val="both"/>
        <w:rPr>
          <w:rFonts w:ascii="Garamond" w:eastAsia="Times New Roman" w:hAnsi="Garamond" w:cs="Times New Roman"/>
          <w:i/>
          <w:lang w:eastAsia="fr-FR"/>
        </w:rPr>
      </w:pPr>
      <w:r w:rsidRPr="003C736A">
        <w:rPr>
          <w:rFonts w:ascii="Garamond" w:eastAsia="Times New Roman" w:hAnsi="Garamond" w:cs="Times New Roman"/>
          <w:i/>
          <w:lang w:eastAsia="fr-FR"/>
        </w:rPr>
        <w:t>La direction et le contrôle de l’Etat exercés sur une organisation internationale dans la commission d’un fait internationalement illicite.</w:t>
      </w:r>
    </w:p>
    <w:p w14:paraId="57BC65E2" w14:textId="77777777" w:rsidR="005A636F" w:rsidRPr="003C736A" w:rsidRDefault="005A636F" w:rsidP="005A636F">
      <w:pPr>
        <w:pStyle w:val="Paragraphedeliste"/>
        <w:numPr>
          <w:ilvl w:val="3"/>
          <w:numId w:val="4"/>
        </w:numPr>
        <w:jc w:val="both"/>
        <w:rPr>
          <w:rFonts w:ascii="Garamond" w:eastAsia="Times New Roman" w:hAnsi="Garamond" w:cs="Times New Roman"/>
          <w:i/>
          <w:lang w:eastAsia="fr-FR"/>
        </w:rPr>
      </w:pPr>
      <w:bookmarkStart w:id="26" w:name="_Toc452540630"/>
      <w:r w:rsidRPr="003C736A">
        <w:rPr>
          <w:rFonts w:ascii="Garamond" w:eastAsia="Times New Roman" w:hAnsi="Garamond" w:cs="Times New Roman"/>
          <w:i/>
          <w:lang w:eastAsia="fr-FR"/>
        </w:rPr>
        <w:t>La contrainte exercée par un Etat sur une organisation internationale</w:t>
      </w:r>
      <w:bookmarkEnd w:id="26"/>
    </w:p>
    <w:p w14:paraId="719D7573" w14:textId="77777777" w:rsidR="005A636F" w:rsidRPr="003C736A" w:rsidRDefault="005A636F" w:rsidP="005A636F">
      <w:pPr>
        <w:pStyle w:val="Paragraphedeliste"/>
        <w:numPr>
          <w:ilvl w:val="1"/>
          <w:numId w:val="4"/>
        </w:numPr>
        <w:ind w:firstLine="480"/>
        <w:jc w:val="both"/>
        <w:rPr>
          <w:rFonts w:ascii="Garamond" w:eastAsia="Times New Roman" w:hAnsi="Garamond" w:cs="Times New Roman"/>
          <w:lang w:eastAsia="fr-FR"/>
        </w:rPr>
      </w:pPr>
      <w:bookmarkStart w:id="27" w:name="_Toc452540631"/>
      <w:r w:rsidRPr="003C736A">
        <w:rPr>
          <w:rFonts w:ascii="Garamond" w:eastAsia="Times New Roman" w:hAnsi="Garamond" w:cs="Times New Roman"/>
          <w:lang w:eastAsia="fr-FR"/>
        </w:rPr>
        <w:t>La responsabilité dérivée de l’Etat dans les rapports spécifiques qu’il entretient avec une organisation dont il est membr</w:t>
      </w:r>
      <w:bookmarkEnd w:id="27"/>
      <w:r>
        <w:rPr>
          <w:rFonts w:ascii="Garamond" w:eastAsia="Times New Roman" w:hAnsi="Garamond" w:cs="Times New Roman"/>
          <w:lang w:eastAsia="fr-FR"/>
        </w:rPr>
        <w:t>e</w:t>
      </w:r>
    </w:p>
    <w:p w14:paraId="373649A8" w14:textId="77777777" w:rsidR="002F1418" w:rsidRPr="004E4E61" w:rsidRDefault="002F1418" w:rsidP="001343B6">
      <w:pPr>
        <w:jc w:val="both"/>
        <w:rPr>
          <w:rFonts w:ascii="Garamond" w:hAnsi="Garamond"/>
        </w:rPr>
      </w:pPr>
    </w:p>
    <w:p w14:paraId="7594C584" w14:textId="7D938113" w:rsidR="005A636F" w:rsidRPr="005A636F" w:rsidRDefault="005A636F" w:rsidP="005A636F">
      <w:pPr>
        <w:jc w:val="both"/>
        <w:rPr>
          <w:rFonts w:ascii="Garamond" w:hAnsi="Garamond"/>
        </w:rPr>
      </w:pPr>
    </w:p>
    <w:sectPr w:rsidR="005A636F" w:rsidRPr="005A636F" w:rsidSect="000A17DB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DE1F4" w14:textId="77777777" w:rsidR="00923D18" w:rsidRDefault="00923D18" w:rsidP="001343B6">
      <w:r>
        <w:separator/>
      </w:r>
    </w:p>
  </w:endnote>
  <w:endnote w:type="continuationSeparator" w:id="0">
    <w:p w14:paraId="6AE1B7F8" w14:textId="77777777" w:rsidR="00923D18" w:rsidRDefault="00923D18" w:rsidP="0013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EB712" w14:textId="77777777" w:rsidR="00923D18" w:rsidRDefault="00923D18" w:rsidP="001343B6">
      <w:r>
        <w:separator/>
      </w:r>
    </w:p>
  </w:footnote>
  <w:footnote w:type="continuationSeparator" w:id="0">
    <w:p w14:paraId="069CA8B4" w14:textId="77777777" w:rsidR="00923D18" w:rsidRDefault="00923D18" w:rsidP="0013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4F59C" w14:textId="77777777" w:rsidR="001343B6" w:rsidRDefault="001343B6">
    <w:pPr>
      <w:pStyle w:val="En-tte"/>
    </w:pPr>
  </w:p>
  <w:p w14:paraId="4E5F57E8" w14:textId="77777777" w:rsidR="001343B6" w:rsidRDefault="001343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2B87"/>
    <w:multiLevelType w:val="hybridMultilevel"/>
    <w:tmpl w:val="C262A5A6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704637"/>
    <w:multiLevelType w:val="hybridMultilevel"/>
    <w:tmpl w:val="1388C9A0"/>
    <w:lvl w:ilvl="0" w:tplc="DA80D9F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B5916"/>
    <w:multiLevelType w:val="hybridMultilevel"/>
    <w:tmpl w:val="75A0F028"/>
    <w:lvl w:ilvl="0" w:tplc="980ECE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451B1A"/>
    <w:multiLevelType w:val="hybridMultilevel"/>
    <w:tmpl w:val="330246C2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1C54E3"/>
    <w:multiLevelType w:val="hybridMultilevel"/>
    <w:tmpl w:val="9C5AD556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7728AA0">
      <w:start w:val="1"/>
      <w:numFmt w:val="lowerLetter"/>
      <w:lvlText w:val="%2."/>
      <w:lvlJc w:val="left"/>
      <w:pPr>
        <w:ind w:left="1788" w:hanging="360"/>
      </w:pPr>
      <w:rPr>
        <w:b w:val="0"/>
      </w:r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852549"/>
    <w:multiLevelType w:val="hybridMultilevel"/>
    <w:tmpl w:val="DB7817A0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97E7EE7"/>
    <w:multiLevelType w:val="hybridMultilevel"/>
    <w:tmpl w:val="2C984E5C"/>
    <w:lvl w:ilvl="0" w:tplc="8536F1A4">
      <w:start w:val="1"/>
      <w:numFmt w:val="decimal"/>
      <w:lvlText w:val="%1."/>
      <w:lvlJc w:val="left"/>
      <w:pPr>
        <w:ind w:left="1776" w:hanging="360"/>
      </w:pPr>
      <w:rPr>
        <w:rFonts w:ascii="Garamond" w:eastAsiaTheme="minorHAnsi" w:hAnsi="Garamond" w:cstheme="minorBidi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8606B9B"/>
    <w:multiLevelType w:val="hybridMultilevel"/>
    <w:tmpl w:val="86FE34D6"/>
    <w:lvl w:ilvl="0" w:tplc="F594F0D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A1046B3"/>
    <w:multiLevelType w:val="hybridMultilevel"/>
    <w:tmpl w:val="F6442E58"/>
    <w:lvl w:ilvl="0" w:tplc="445E3B86">
      <w:start w:val="9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6" w:hanging="360"/>
      </w:pPr>
    </w:lvl>
    <w:lvl w:ilvl="2" w:tplc="040C001B" w:tentative="1">
      <w:start w:val="1"/>
      <w:numFmt w:val="lowerRoman"/>
      <w:lvlText w:val="%3."/>
      <w:lvlJc w:val="right"/>
      <w:pPr>
        <w:ind w:left="3936" w:hanging="180"/>
      </w:pPr>
    </w:lvl>
    <w:lvl w:ilvl="3" w:tplc="040C000F" w:tentative="1">
      <w:start w:val="1"/>
      <w:numFmt w:val="decimal"/>
      <w:lvlText w:val="%4."/>
      <w:lvlJc w:val="left"/>
      <w:pPr>
        <w:ind w:left="4656" w:hanging="360"/>
      </w:pPr>
    </w:lvl>
    <w:lvl w:ilvl="4" w:tplc="040C0019" w:tentative="1">
      <w:start w:val="1"/>
      <w:numFmt w:val="lowerLetter"/>
      <w:lvlText w:val="%5."/>
      <w:lvlJc w:val="left"/>
      <w:pPr>
        <w:ind w:left="5376" w:hanging="360"/>
      </w:pPr>
    </w:lvl>
    <w:lvl w:ilvl="5" w:tplc="040C001B" w:tentative="1">
      <w:start w:val="1"/>
      <w:numFmt w:val="lowerRoman"/>
      <w:lvlText w:val="%6."/>
      <w:lvlJc w:val="right"/>
      <w:pPr>
        <w:ind w:left="6096" w:hanging="180"/>
      </w:pPr>
    </w:lvl>
    <w:lvl w:ilvl="6" w:tplc="040C000F" w:tentative="1">
      <w:start w:val="1"/>
      <w:numFmt w:val="decimal"/>
      <w:lvlText w:val="%7."/>
      <w:lvlJc w:val="left"/>
      <w:pPr>
        <w:ind w:left="6816" w:hanging="360"/>
      </w:pPr>
    </w:lvl>
    <w:lvl w:ilvl="7" w:tplc="040C0019" w:tentative="1">
      <w:start w:val="1"/>
      <w:numFmt w:val="lowerLetter"/>
      <w:lvlText w:val="%8."/>
      <w:lvlJc w:val="left"/>
      <w:pPr>
        <w:ind w:left="7536" w:hanging="360"/>
      </w:pPr>
    </w:lvl>
    <w:lvl w:ilvl="8" w:tplc="040C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9" w15:restartNumberingAfterBreak="0">
    <w:nsid w:val="3EB97D10"/>
    <w:multiLevelType w:val="hybridMultilevel"/>
    <w:tmpl w:val="400EB744"/>
    <w:lvl w:ilvl="0" w:tplc="9BC2CF24">
      <w:start w:val="1"/>
      <w:numFmt w:val="decimal"/>
      <w:lvlText w:val="%1."/>
      <w:lvlJc w:val="left"/>
      <w:pPr>
        <w:ind w:left="32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21" w:hanging="360"/>
      </w:pPr>
    </w:lvl>
    <w:lvl w:ilvl="2" w:tplc="040C001B" w:tentative="1">
      <w:start w:val="1"/>
      <w:numFmt w:val="lowerRoman"/>
      <w:lvlText w:val="%3."/>
      <w:lvlJc w:val="right"/>
      <w:pPr>
        <w:ind w:left="4641" w:hanging="180"/>
      </w:pPr>
    </w:lvl>
    <w:lvl w:ilvl="3" w:tplc="040C000F" w:tentative="1">
      <w:start w:val="1"/>
      <w:numFmt w:val="decimal"/>
      <w:lvlText w:val="%4."/>
      <w:lvlJc w:val="left"/>
      <w:pPr>
        <w:ind w:left="5361" w:hanging="360"/>
      </w:pPr>
    </w:lvl>
    <w:lvl w:ilvl="4" w:tplc="040C0019" w:tentative="1">
      <w:start w:val="1"/>
      <w:numFmt w:val="lowerLetter"/>
      <w:lvlText w:val="%5."/>
      <w:lvlJc w:val="left"/>
      <w:pPr>
        <w:ind w:left="6081" w:hanging="360"/>
      </w:pPr>
    </w:lvl>
    <w:lvl w:ilvl="5" w:tplc="040C001B" w:tentative="1">
      <w:start w:val="1"/>
      <w:numFmt w:val="lowerRoman"/>
      <w:lvlText w:val="%6."/>
      <w:lvlJc w:val="right"/>
      <w:pPr>
        <w:ind w:left="6801" w:hanging="180"/>
      </w:pPr>
    </w:lvl>
    <w:lvl w:ilvl="6" w:tplc="040C000F" w:tentative="1">
      <w:start w:val="1"/>
      <w:numFmt w:val="decimal"/>
      <w:lvlText w:val="%7."/>
      <w:lvlJc w:val="left"/>
      <w:pPr>
        <w:ind w:left="7521" w:hanging="360"/>
      </w:pPr>
    </w:lvl>
    <w:lvl w:ilvl="7" w:tplc="040C0019" w:tentative="1">
      <w:start w:val="1"/>
      <w:numFmt w:val="lowerLetter"/>
      <w:lvlText w:val="%8."/>
      <w:lvlJc w:val="left"/>
      <w:pPr>
        <w:ind w:left="8241" w:hanging="360"/>
      </w:pPr>
    </w:lvl>
    <w:lvl w:ilvl="8" w:tplc="040C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10" w15:restartNumberingAfterBreak="0">
    <w:nsid w:val="633E1D4B"/>
    <w:multiLevelType w:val="hybridMultilevel"/>
    <w:tmpl w:val="69B48A5C"/>
    <w:lvl w:ilvl="0" w:tplc="8B141BB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055B9"/>
    <w:multiLevelType w:val="hybridMultilevel"/>
    <w:tmpl w:val="D88E7CE6"/>
    <w:lvl w:ilvl="0" w:tplc="FA8ECA98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1" w:tplc="040C0019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B6"/>
    <w:rsid w:val="0007018C"/>
    <w:rsid w:val="000778BC"/>
    <w:rsid w:val="00095A0C"/>
    <w:rsid w:val="000A17DB"/>
    <w:rsid w:val="0012148C"/>
    <w:rsid w:val="001343B6"/>
    <w:rsid w:val="0016709C"/>
    <w:rsid w:val="00215752"/>
    <w:rsid w:val="002632E3"/>
    <w:rsid w:val="00265B48"/>
    <w:rsid w:val="00291373"/>
    <w:rsid w:val="002A04C3"/>
    <w:rsid w:val="002A15B7"/>
    <w:rsid w:val="002A347F"/>
    <w:rsid w:val="002F1418"/>
    <w:rsid w:val="002F245D"/>
    <w:rsid w:val="00447314"/>
    <w:rsid w:val="00476B2E"/>
    <w:rsid w:val="0049430B"/>
    <w:rsid w:val="004B426E"/>
    <w:rsid w:val="004C56A8"/>
    <w:rsid w:val="004E4E61"/>
    <w:rsid w:val="005536B7"/>
    <w:rsid w:val="005559B0"/>
    <w:rsid w:val="005A636F"/>
    <w:rsid w:val="005B6159"/>
    <w:rsid w:val="00651808"/>
    <w:rsid w:val="00672D5F"/>
    <w:rsid w:val="00674074"/>
    <w:rsid w:val="006C6753"/>
    <w:rsid w:val="00774878"/>
    <w:rsid w:val="00783101"/>
    <w:rsid w:val="00792B07"/>
    <w:rsid w:val="007A5FE2"/>
    <w:rsid w:val="00850EE7"/>
    <w:rsid w:val="008D1676"/>
    <w:rsid w:val="00904FF5"/>
    <w:rsid w:val="009235A6"/>
    <w:rsid w:val="00923D18"/>
    <w:rsid w:val="009409AB"/>
    <w:rsid w:val="00A00697"/>
    <w:rsid w:val="00A128CB"/>
    <w:rsid w:val="00A14B5E"/>
    <w:rsid w:val="00AE0BBE"/>
    <w:rsid w:val="00B44BB6"/>
    <w:rsid w:val="00B455AC"/>
    <w:rsid w:val="00B51FE2"/>
    <w:rsid w:val="00B61C33"/>
    <w:rsid w:val="00BE7AF1"/>
    <w:rsid w:val="00C715E7"/>
    <w:rsid w:val="00CA151A"/>
    <w:rsid w:val="00E21869"/>
    <w:rsid w:val="00E36C8C"/>
    <w:rsid w:val="00E736AD"/>
    <w:rsid w:val="00EA1795"/>
    <w:rsid w:val="00EC79E0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727F"/>
  <w14:defaultImageDpi w14:val="32767"/>
  <w15:docId w15:val="{788F08E9-A931-419F-A04D-1F374F5C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43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43B6"/>
  </w:style>
  <w:style w:type="paragraph" w:styleId="Pieddepage">
    <w:name w:val="footer"/>
    <w:basedOn w:val="Normal"/>
    <w:link w:val="PieddepageCar"/>
    <w:uiPriority w:val="99"/>
    <w:unhideWhenUsed/>
    <w:rsid w:val="001343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43B6"/>
  </w:style>
  <w:style w:type="paragraph" w:styleId="Paragraphedeliste">
    <w:name w:val="List Paragraph"/>
    <w:basedOn w:val="Normal"/>
    <w:uiPriority w:val="34"/>
    <w:qFormat/>
    <w:rsid w:val="00792B07"/>
    <w:pPr>
      <w:ind w:left="720"/>
      <w:contextualSpacing/>
    </w:pPr>
  </w:style>
  <w:style w:type="paragraph" w:customStyle="1" w:styleId="Default">
    <w:name w:val="Default"/>
    <w:rsid w:val="00B455AC"/>
    <w:pPr>
      <w:autoSpaceDE w:val="0"/>
      <w:autoSpaceDN w:val="0"/>
      <w:adjustRightInd w:val="0"/>
    </w:pPr>
    <w:rPr>
      <w:rFonts w:ascii="Book Antiqua" w:hAnsi="Book Antiqua" w:cs="Book Antiqu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9A431A-80C6-4DB2-979E-DDDC19DF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Dross</dc:creator>
  <cp:lastModifiedBy>Marie Allémoniere</cp:lastModifiedBy>
  <cp:revision>3</cp:revision>
  <dcterms:created xsi:type="dcterms:W3CDTF">2020-12-16T13:14:00Z</dcterms:created>
  <dcterms:modified xsi:type="dcterms:W3CDTF">2020-12-16T13:14:00Z</dcterms:modified>
</cp:coreProperties>
</file>